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AA6" w:rsidRPr="00BE5980" w:rsidRDefault="00FA4AA6" w:rsidP="00FA4AA6">
      <w:pPr>
        <w:widowControl w:val="0"/>
        <w:suppressAutoHyphens/>
        <w:spacing w:after="0" w:line="240" w:lineRule="auto"/>
        <w:rPr>
          <w:rFonts w:ascii="Arial" w:eastAsia="Lucida Sans Unicode" w:hAnsi="Arial" w:cs="Arial"/>
          <w:b/>
          <w:color w:val="000000"/>
          <w:kern w:val="1"/>
          <w:sz w:val="20"/>
          <w:szCs w:val="20"/>
        </w:rPr>
      </w:pPr>
    </w:p>
    <w:p w:rsidR="00FA4AA6" w:rsidRPr="00BE5980" w:rsidRDefault="00FA4AA6" w:rsidP="00FA4AA6">
      <w:pPr>
        <w:jc w:val="center"/>
        <w:rPr>
          <w:rFonts w:ascii="Arial" w:hAnsi="Arial" w:cs="Arial"/>
          <w:color w:val="2E74B5"/>
          <w:sz w:val="20"/>
          <w:szCs w:val="20"/>
        </w:rPr>
      </w:pPr>
      <w:r w:rsidRPr="00BE5980">
        <w:rPr>
          <w:rFonts w:ascii="Arial" w:hAnsi="Arial" w:cs="Arial"/>
          <w:b/>
          <w:sz w:val="20"/>
          <w:szCs w:val="20"/>
        </w:rPr>
        <w:t>ACTA</w:t>
      </w:r>
      <w:r w:rsidRPr="00BE5980">
        <w:rPr>
          <w:rFonts w:ascii="Arial" w:hAnsi="Arial" w:cs="Arial"/>
          <w:color w:val="2E74B5"/>
          <w:sz w:val="20"/>
          <w:szCs w:val="20"/>
        </w:rPr>
        <w:t xml:space="preserve"> </w:t>
      </w:r>
    </w:p>
    <w:p w:rsidR="00FA4AA6" w:rsidRDefault="00FA4AA6" w:rsidP="00FA4AA6">
      <w:pPr>
        <w:contextualSpacing/>
        <w:jc w:val="center"/>
        <w:rPr>
          <w:rFonts w:ascii="Arial" w:hAnsi="Arial" w:cs="Arial"/>
          <w:b/>
          <w:sz w:val="20"/>
          <w:szCs w:val="20"/>
        </w:rPr>
      </w:pPr>
      <w:r w:rsidRPr="00FA4AA6">
        <w:rPr>
          <w:rFonts w:ascii="Arial" w:hAnsi="Arial" w:cs="Arial"/>
          <w:b/>
          <w:sz w:val="20"/>
          <w:szCs w:val="20"/>
        </w:rPr>
        <w:t>Panel Bogotá 2035. Una Ciudad para las Personas Mayores</w:t>
      </w:r>
      <w:r>
        <w:rPr>
          <w:rFonts w:ascii="Arial" w:hAnsi="Arial" w:cs="Arial"/>
          <w:b/>
          <w:sz w:val="20"/>
          <w:szCs w:val="20"/>
        </w:rPr>
        <w:t>.</w:t>
      </w:r>
    </w:p>
    <w:p w:rsidR="00FA4AA6" w:rsidRDefault="00FA4AA6" w:rsidP="00FA4AA6">
      <w:pPr>
        <w:jc w:val="both"/>
        <w:rPr>
          <w:rFonts w:ascii="Arial" w:hAnsi="Arial" w:cs="Arial"/>
          <w:sz w:val="20"/>
          <w:szCs w:val="20"/>
        </w:rPr>
      </w:pPr>
    </w:p>
    <w:p w:rsidR="00FA4AA6" w:rsidRPr="00BE5980" w:rsidRDefault="00FA4AA6" w:rsidP="00FA4AA6">
      <w:pPr>
        <w:jc w:val="both"/>
        <w:rPr>
          <w:rFonts w:ascii="Arial" w:hAnsi="Arial" w:cs="Arial"/>
          <w:sz w:val="20"/>
          <w:szCs w:val="20"/>
        </w:rPr>
      </w:pPr>
      <w:r w:rsidRPr="00334920">
        <w:rPr>
          <w:rFonts w:ascii="Arial" w:hAnsi="Arial" w:cs="Arial"/>
          <w:b/>
          <w:sz w:val="20"/>
          <w:szCs w:val="20"/>
        </w:rPr>
        <w:t>FECHA:</w:t>
      </w:r>
      <w:r w:rsidRPr="00BE5980">
        <w:rPr>
          <w:rFonts w:ascii="Arial" w:hAnsi="Arial" w:cs="Arial"/>
          <w:sz w:val="20"/>
          <w:szCs w:val="20"/>
        </w:rPr>
        <w:t xml:space="preserve"> Bogotá, </w:t>
      </w:r>
      <w:r w:rsidR="0080454F">
        <w:rPr>
          <w:rFonts w:ascii="Arial" w:hAnsi="Arial" w:cs="Arial"/>
          <w:sz w:val="20"/>
          <w:szCs w:val="20"/>
        </w:rPr>
        <w:t>26</w:t>
      </w:r>
      <w:r>
        <w:rPr>
          <w:rFonts w:ascii="Arial" w:hAnsi="Arial" w:cs="Arial"/>
          <w:sz w:val="20"/>
          <w:szCs w:val="20"/>
        </w:rPr>
        <w:t xml:space="preserve"> </w:t>
      </w:r>
      <w:r w:rsidR="0080454F">
        <w:rPr>
          <w:rFonts w:ascii="Arial" w:hAnsi="Arial" w:cs="Arial"/>
          <w:sz w:val="20"/>
          <w:szCs w:val="20"/>
        </w:rPr>
        <w:t>de agosto</w:t>
      </w:r>
      <w:bookmarkStart w:id="0" w:name="_GoBack"/>
      <w:bookmarkEnd w:id="0"/>
      <w:r w:rsidRPr="00BE5980">
        <w:rPr>
          <w:rFonts w:ascii="Arial" w:hAnsi="Arial" w:cs="Arial"/>
          <w:sz w:val="20"/>
          <w:szCs w:val="20"/>
        </w:rPr>
        <w:t xml:space="preserve"> de 2025</w:t>
      </w:r>
    </w:p>
    <w:p w:rsidR="00FA4AA6" w:rsidRPr="00BE5980" w:rsidRDefault="00FA4AA6" w:rsidP="00FA4AA6">
      <w:pPr>
        <w:jc w:val="both"/>
        <w:rPr>
          <w:rFonts w:ascii="Arial" w:hAnsi="Arial" w:cs="Arial"/>
          <w:sz w:val="20"/>
          <w:szCs w:val="20"/>
        </w:rPr>
      </w:pPr>
      <w:r w:rsidRPr="00334920">
        <w:rPr>
          <w:rFonts w:ascii="Arial" w:hAnsi="Arial" w:cs="Arial"/>
          <w:b/>
          <w:sz w:val="20"/>
          <w:szCs w:val="20"/>
        </w:rPr>
        <w:t>HORA:</w:t>
      </w:r>
      <w:r w:rsidR="003317F4">
        <w:rPr>
          <w:rFonts w:ascii="Arial" w:hAnsi="Arial" w:cs="Arial"/>
          <w:sz w:val="20"/>
          <w:szCs w:val="20"/>
        </w:rPr>
        <w:t xml:space="preserve">  </w:t>
      </w:r>
      <w:r w:rsidR="00557002">
        <w:rPr>
          <w:rFonts w:ascii="Arial" w:hAnsi="Arial" w:cs="Arial"/>
          <w:sz w:val="20"/>
          <w:szCs w:val="20"/>
        </w:rPr>
        <w:t>8:00 a.m. a 1:00 p</w:t>
      </w:r>
      <w:r>
        <w:rPr>
          <w:rFonts w:ascii="Arial" w:hAnsi="Arial" w:cs="Arial"/>
          <w:sz w:val="20"/>
          <w:szCs w:val="20"/>
        </w:rPr>
        <w:t>.m.</w:t>
      </w:r>
    </w:p>
    <w:p w:rsidR="00FA4AA6" w:rsidRPr="00BE5980" w:rsidRDefault="00FA4AA6" w:rsidP="00FA4AA6">
      <w:pPr>
        <w:jc w:val="both"/>
        <w:rPr>
          <w:rFonts w:ascii="Arial" w:hAnsi="Arial" w:cs="Arial"/>
          <w:sz w:val="20"/>
          <w:szCs w:val="20"/>
        </w:rPr>
      </w:pPr>
      <w:r w:rsidRPr="00334920">
        <w:rPr>
          <w:rFonts w:ascii="Arial" w:hAnsi="Arial" w:cs="Arial"/>
          <w:b/>
          <w:sz w:val="20"/>
          <w:szCs w:val="20"/>
        </w:rPr>
        <w:t xml:space="preserve">LUGAR: </w:t>
      </w:r>
      <w:r w:rsidR="00BF6C47" w:rsidRPr="00BF6C47">
        <w:rPr>
          <w:rFonts w:ascii="Arial" w:hAnsi="Arial" w:cs="Arial"/>
          <w:sz w:val="20"/>
          <w:szCs w:val="20"/>
        </w:rPr>
        <w:t xml:space="preserve">Auditorio Biblioteca Virgilio Barco – </w:t>
      </w:r>
      <w:proofErr w:type="spellStart"/>
      <w:r w:rsidR="00BF6C47" w:rsidRPr="00BF6C47">
        <w:rPr>
          <w:rFonts w:ascii="Arial" w:hAnsi="Arial" w:cs="Arial"/>
          <w:sz w:val="20"/>
          <w:szCs w:val="20"/>
        </w:rPr>
        <w:t>Cra</w:t>
      </w:r>
      <w:proofErr w:type="spellEnd"/>
      <w:r w:rsidR="00BF6C47" w:rsidRPr="00BF6C47">
        <w:rPr>
          <w:rFonts w:ascii="Arial" w:hAnsi="Arial" w:cs="Arial"/>
          <w:sz w:val="20"/>
          <w:szCs w:val="20"/>
        </w:rPr>
        <w:t>. 60 No. 57-60, Bogotá</w:t>
      </w:r>
      <w:r w:rsidR="003317F4">
        <w:rPr>
          <w:rFonts w:ascii="Arial" w:hAnsi="Arial" w:cs="Arial"/>
          <w:sz w:val="20"/>
          <w:szCs w:val="20"/>
        </w:rPr>
        <w:t>.</w:t>
      </w:r>
    </w:p>
    <w:p w:rsidR="00FA4AA6" w:rsidRDefault="00FA4AA6" w:rsidP="00FA4AA6">
      <w:pPr>
        <w:contextualSpacing/>
        <w:rPr>
          <w:rFonts w:ascii="Arial" w:hAnsi="Arial" w:cs="Arial"/>
          <w:bCs/>
          <w:sz w:val="20"/>
          <w:szCs w:val="20"/>
        </w:rPr>
      </w:pPr>
      <w:r w:rsidRPr="00334920">
        <w:rPr>
          <w:rFonts w:ascii="Arial" w:hAnsi="Arial" w:cs="Arial"/>
          <w:b/>
          <w:sz w:val="20"/>
          <w:szCs w:val="20"/>
        </w:rPr>
        <w:t>TEMA</w:t>
      </w:r>
      <w:r w:rsidR="00BF6C47" w:rsidRPr="00334920">
        <w:rPr>
          <w:rFonts w:ascii="Arial" w:hAnsi="Arial" w:cs="Arial"/>
          <w:b/>
          <w:sz w:val="20"/>
          <w:szCs w:val="20"/>
        </w:rPr>
        <w:t>S</w:t>
      </w:r>
      <w:r w:rsidR="00334920" w:rsidRPr="00334920">
        <w:rPr>
          <w:rFonts w:ascii="Arial" w:hAnsi="Arial" w:cs="Arial"/>
          <w:b/>
          <w:sz w:val="20"/>
          <w:szCs w:val="20"/>
        </w:rPr>
        <w:t>:</w:t>
      </w:r>
      <w:r w:rsidR="00334920">
        <w:rPr>
          <w:rFonts w:ascii="Arial" w:hAnsi="Arial" w:cs="Arial"/>
          <w:sz w:val="20"/>
          <w:szCs w:val="20"/>
        </w:rPr>
        <w:t xml:space="preserve"> </w:t>
      </w:r>
      <w:r w:rsidR="00BF6C47" w:rsidRPr="00BF6C47">
        <w:rPr>
          <w:rFonts w:ascii="Arial" w:hAnsi="Arial" w:cs="Arial"/>
          <w:bCs/>
          <w:sz w:val="20"/>
          <w:szCs w:val="20"/>
        </w:rPr>
        <w:t>Seguridad económica y economía plateada</w:t>
      </w:r>
      <w:r w:rsidR="00BF6C47">
        <w:rPr>
          <w:rFonts w:ascii="Arial" w:hAnsi="Arial" w:cs="Arial"/>
          <w:bCs/>
          <w:sz w:val="20"/>
          <w:szCs w:val="20"/>
        </w:rPr>
        <w:t xml:space="preserve">, </w:t>
      </w:r>
      <w:r w:rsidR="00BF6C47" w:rsidRPr="00BF6C47">
        <w:rPr>
          <w:rFonts w:ascii="Arial" w:hAnsi="Arial" w:cs="Arial"/>
          <w:bCs/>
          <w:sz w:val="20"/>
          <w:szCs w:val="20"/>
        </w:rPr>
        <w:t>Prevención de violencias y entornos protectores</w:t>
      </w:r>
      <w:r w:rsidR="00BF6C47">
        <w:rPr>
          <w:rFonts w:ascii="Arial" w:hAnsi="Arial" w:cs="Arial"/>
          <w:bCs/>
          <w:sz w:val="20"/>
          <w:szCs w:val="20"/>
        </w:rPr>
        <w:t>, Brecha digital.</w:t>
      </w:r>
    </w:p>
    <w:p w:rsidR="00BF6C47" w:rsidRDefault="00BF6C47" w:rsidP="00FA4AA6">
      <w:pPr>
        <w:contextualSpacing/>
        <w:rPr>
          <w:rFonts w:ascii="Arial" w:hAnsi="Arial" w:cs="Arial"/>
          <w:bCs/>
          <w:sz w:val="20"/>
          <w:szCs w:val="20"/>
        </w:rPr>
      </w:pPr>
    </w:p>
    <w:p w:rsidR="00FA4AA6" w:rsidRPr="00BE5980" w:rsidRDefault="00FA4AA6" w:rsidP="00FA4AA6">
      <w:pPr>
        <w:contextualSpacing/>
        <w:rPr>
          <w:rFonts w:ascii="Arial" w:hAnsi="Arial" w:cs="Arial"/>
          <w:sz w:val="20"/>
          <w:szCs w:val="20"/>
        </w:rPr>
      </w:pPr>
    </w:p>
    <w:p w:rsidR="00FA4AA6" w:rsidRDefault="00FA4AA6" w:rsidP="00FA4AA6">
      <w:pPr>
        <w:contextualSpacing/>
        <w:jc w:val="both"/>
        <w:rPr>
          <w:rFonts w:ascii="Arial" w:hAnsi="Arial" w:cs="Arial"/>
          <w:sz w:val="20"/>
          <w:szCs w:val="20"/>
        </w:rPr>
      </w:pPr>
      <w:r w:rsidRPr="00BE5980">
        <w:rPr>
          <w:rFonts w:ascii="Arial" w:hAnsi="Arial" w:cs="Arial"/>
          <w:b/>
          <w:sz w:val="20"/>
          <w:szCs w:val="20"/>
        </w:rPr>
        <w:t>ASISTENTES</w:t>
      </w:r>
      <w:r w:rsidRPr="00BE5980">
        <w:rPr>
          <w:rFonts w:ascii="Arial" w:hAnsi="Arial" w:cs="Arial"/>
          <w:sz w:val="20"/>
          <w:szCs w:val="20"/>
        </w:rPr>
        <w:t xml:space="preserve">: </w:t>
      </w:r>
    </w:p>
    <w:p w:rsidR="00944530" w:rsidRDefault="00944530" w:rsidP="00FA4AA6">
      <w:pPr>
        <w:contextualSpacing/>
        <w:jc w:val="both"/>
        <w:rPr>
          <w:rFonts w:ascii="Arial" w:hAnsi="Arial" w:cs="Arial"/>
          <w:sz w:val="20"/>
          <w:szCs w:val="20"/>
        </w:rPr>
      </w:pPr>
    </w:p>
    <w:p w:rsidR="00063DDF" w:rsidRPr="00063DDF" w:rsidRDefault="00063DDF" w:rsidP="00063DDF">
      <w:pPr>
        <w:contextualSpacing/>
        <w:jc w:val="both"/>
        <w:rPr>
          <w:rFonts w:ascii="Arial" w:hAnsi="Arial" w:cs="Arial"/>
          <w:sz w:val="20"/>
          <w:szCs w:val="20"/>
        </w:rPr>
      </w:pPr>
      <w:r>
        <w:rPr>
          <w:rFonts w:ascii="Arial" w:hAnsi="Arial" w:cs="Arial"/>
          <w:sz w:val="20"/>
          <w:szCs w:val="20"/>
        </w:rPr>
        <w:t xml:space="preserve">● </w:t>
      </w:r>
      <w:r w:rsidRPr="00063DDF">
        <w:rPr>
          <w:rFonts w:ascii="Arial" w:hAnsi="Arial" w:cs="Arial"/>
          <w:sz w:val="20"/>
          <w:szCs w:val="20"/>
        </w:rPr>
        <w:t>Directivo de la Secretaría Distrital de In</w:t>
      </w:r>
      <w:r>
        <w:rPr>
          <w:rFonts w:ascii="Arial" w:hAnsi="Arial" w:cs="Arial"/>
          <w:sz w:val="20"/>
          <w:szCs w:val="20"/>
        </w:rPr>
        <w:t>tegración Social.</w:t>
      </w:r>
    </w:p>
    <w:p w:rsidR="00063DDF" w:rsidRPr="00063DDF" w:rsidRDefault="00063DDF" w:rsidP="00063DDF">
      <w:pPr>
        <w:contextualSpacing/>
        <w:jc w:val="both"/>
        <w:rPr>
          <w:rFonts w:ascii="Arial" w:hAnsi="Arial" w:cs="Arial"/>
          <w:sz w:val="20"/>
          <w:szCs w:val="20"/>
        </w:rPr>
      </w:pPr>
      <w:r>
        <w:rPr>
          <w:rFonts w:ascii="Arial" w:hAnsi="Arial" w:cs="Arial"/>
          <w:sz w:val="20"/>
          <w:szCs w:val="20"/>
        </w:rPr>
        <w:t xml:space="preserve">● </w:t>
      </w:r>
      <w:r w:rsidRPr="00063DDF">
        <w:rPr>
          <w:rFonts w:ascii="Arial" w:hAnsi="Arial" w:cs="Arial"/>
          <w:sz w:val="20"/>
          <w:szCs w:val="20"/>
        </w:rPr>
        <w:t>7 Panelistas expertos en los temas definidos: Catalina Santana, Mauricio Olivera, María Cristina Tobón, Ana María Sánchez Guevara, María Luisa Arenas, Diana Arenas y Mauricio Quiñonez.</w:t>
      </w:r>
    </w:p>
    <w:p w:rsidR="00063DDF" w:rsidRPr="00063DDF" w:rsidRDefault="00063DDF" w:rsidP="00063DDF">
      <w:pPr>
        <w:contextualSpacing/>
        <w:jc w:val="both"/>
        <w:rPr>
          <w:rFonts w:ascii="Arial" w:hAnsi="Arial" w:cs="Arial"/>
          <w:sz w:val="20"/>
          <w:szCs w:val="20"/>
        </w:rPr>
      </w:pPr>
      <w:r>
        <w:rPr>
          <w:rFonts w:ascii="Arial" w:hAnsi="Arial" w:cs="Arial"/>
          <w:sz w:val="20"/>
          <w:szCs w:val="20"/>
        </w:rPr>
        <w:t xml:space="preserve">● </w:t>
      </w:r>
      <w:r w:rsidRPr="00063DDF">
        <w:rPr>
          <w:rFonts w:ascii="Arial" w:hAnsi="Arial" w:cs="Arial"/>
          <w:sz w:val="20"/>
          <w:szCs w:val="20"/>
        </w:rPr>
        <w:t>150 personas mayores de Consejos locales y Distrital de Sabios-as – Casas de Sabiduría localidades de Barrios Unidos y Engativá</w:t>
      </w:r>
      <w:r>
        <w:rPr>
          <w:rFonts w:ascii="Arial" w:hAnsi="Arial" w:cs="Arial"/>
          <w:sz w:val="20"/>
          <w:szCs w:val="20"/>
        </w:rPr>
        <w:t>.</w:t>
      </w:r>
    </w:p>
    <w:p w:rsidR="00063DDF" w:rsidRPr="00063DDF" w:rsidRDefault="00063DDF" w:rsidP="00063DDF">
      <w:pPr>
        <w:contextualSpacing/>
        <w:jc w:val="both"/>
        <w:rPr>
          <w:rFonts w:ascii="Arial" w:hAnsi="Arial" w:cs="Arial"/>
          <w:sz w:val="20"/>
          <w:szCs w:val="20"/>
        </w:rPr>
      </w:pPr>
      <w:r>
        <w:rPr>
          <w:rFonts w:ascii="Arial" w:hAnsi="Arial" w:cs="Arial"/>
          <w:sz w:val="20"/>
          <w:szCs w:val="20"/>
        </w:rPr>
        <w:t xml:space="preserve">● </w:t>
      </w:r>
      <w:r w:rsidRPr="00063DDF">
        <w:rPr>
          <w:rFonts w:ascii="Arial" w:hAnsi="Arial" w:cs="Arial"/>
          <w:sz w:val="20"/>
          <w:szCs w:val="20"/>
        </w:rPr>
        <w:t>Jóvenes universitarios y ciudadanía en general</w:t>
      </w:r>
      <w:r>
        <w:rPr>
          <w:rFonts w:ascii="Arial" w:hAnsi="Arial" w:cs="Arial"/>
          <w:sz w:val="20"/>
          <w:szCs w:val="20"/>
        </w:rPr>
        <w:t>.</w:t>
      </w:r>
    </w:p>
    <w:p w:rsidR="00FA4AA6" w:rsidRDefault="00063DDF" w:rsidP="00063DDF">
      <w:pPr>
        <w:contextualSpacing/>
        <w:jc w:val="both"/>
        <w:rPr>
          <w:rFonts w:ascii="Arial" w:hAnsi="Arial" w:cs="Arial"/>
          <w:sz w:val="20"/>
          <w:szCs w:val="20"/>
        </w:rPr>
      </w:pPr>
      <w:r>
        <w:rPr>
          <w:rFonts w:ascii="Arial" w:hAnsi="Arial" w:cs="Arial"/>
          <w:sz w:val="20"/>
          <w:szCs w:val="20"/>
        </w:rPr>
        <w:t xml:space="preserve">● </w:t>
      </w:r>
      <w:r w:rsidRPr="00063DDF">
        <w:rPr>
          <w:rFonts w:ascii="Arial" w:hAnsi="Arial" w:cs="Arial"/>
          <w:sz w:val="20"/>
          <w:szCs w:val="20"/>
        </w:rPr>
        <w:t>Funcionarios de los servicios de la Subdirección para la Vejez y de otras entidades distritales</w:t>
      </w:r>
      <w:r>
        <w:rPr>
          <w:rFonts w:ascii="Arial" w:hAnsi="Arial" w:cs="Arial"/>
          <w:sz w:val="20"/>
          <w:szCs w:val="20"/>
        </w:rPr>
        <w:t>.</w:t>
      </w:r>
    </w:p>
    <w:p w:rsidR="00063DDF" w:rsidRPr="00BE5980" w:rsidRDefault="00063DDF" w:rsidP="00063DDF">
      <w:pPr>
        <w:contextualSpacing/>
        <w:jc w:val="both"/>
        <w:rPr>
          <w:rFonts w:ascii="Arial" w:hAnsi="Arial" w:cs="Arial"/>
          <w:sz w:val="20"/>
          <w:szCs w:val="20"/>
        </w:rPr>
      </w:pPr>
    </w:p>
    <w:p w:rsidR="00FA4AA6" w:rsidRDefault="00FA4AA6" w:rsidP="00FA4AA6">
      <w:pPr>
        <w:contextualSpacing/>
        <w:jc w:val="both"/>
        <w:rPr>
          <w:rFonts w:ascii="Arial" w:hAnsi="Arial" w:cs="Arial"/>
          <w:b/>
          <w:sz w:val="20"/>
          <w:szCs w:val="20"/>
        </w:rPr>
      </w:pPr>
      <w:r w:rsidRPr="00745EAF">
        <w:rPr>
          <w:rFonts w:ascii="Arial" w:hAnsi="Arial" w:cs="Arial"/>
          <w:b/>
          <w:sz w:val="20"/>
          <w:szCs w:val="20"/>
        </w:rPr>
        <w:t>ORDEN DEL DÍA:</w:t>
      </w:r>
    </w:p>
    <w:p w:rsidR="00FA4AA6" w:rsidRPr="002D2201" w:rsidRDefault="003317F4" w:rsidP="002D2201">
      <w:pPr>
        <w:pStyle w:val="Prrafodelista"/>
        <w:numPr>
          <w:ilvl w:val="0"/>
          <w:numId w:val="4"/>
        </w:numPr>
        <w:ind w:left="360"/>
        <w:jc w:val="both"/>
        <w:rPr>
          <w:rFonts w:ascii="Arial" w:hAnsi="Arial" w:cs="Arial"/>
          <w:sz w:val="20"/>
          <w:szCs w:val="20"/>
        </w:rPr>
      </w:pPr>
      <w:r w:rsidRPr="002D2201">
        <w:rPr>
          <w:rFonts w:ascii="Arial" w:hAnsi="Arial" w:cs="Arial"/>
          <w:sz w:val="20"/>
          <w:szCs w:val="20"/>
        </w:rPr>
        <w:t>Apertura.</w:t>
      </w:r>
      <w:r w:rsidR="00FA4AA6" w:rsidRPr="002D2201">
        <w:rPr>
          <w:rFonts w:ascii="Arial" w:hAnsi="Arial" w:cs="Arial"/>
          <w:sz w:val="20"/>
          <w:szCs w:val="20"/>
        </w:rPr>
        <w:t xml:space="preserve"> </w:t>
      </w:r>
    </w:p>
    <w:p w:rsidR="00FA4AA6" w:rsidRPr="002D2201" w:rsidRDefault="003317F4" w:rsidP="002D2201">
      <w:pPr>
        <w:pStyle w:val="Prrafodelista"/>
        <w:numPr>
          <w:ilvl w:val="0"/>
          <w:numId w:val="4"/>
        </w:numPr>
        <w:ind w:left="360"/>
        <w:jc w:val="both"/>
        <w:rPr>
          <w:rFonts w:ascii="Arial" w:hAnsi="Arial" w:cs="Arial"/>
          <w:sz w:val="20"/>
          <w:szCs w:val="20"/>
        </w:rPr>
      </w:pPr>
      <w:r w:rsidRPr="002D2201">
        <w:rPr>
          <w:rFonts w:ascii="Arial" w:hAnsi="Arial" w:cs="Arial"/>
          <w:sz w:val="20"/>
          <w:szCs w:val="20"/>
        </w:rPr>
        <w:t>Panel 1: Seguridad económica y economía plateada.</w:t>
      </w:r>
    </w:p>
    <w:p w:rsidR="00FA4AA6" w:rsidRPr="002D2201" w:rsidRDefault="003317F4" w:rsidP="002D2201">
      <w:pPr>
        <w:pStyle w:val="Prrafodelista"/>
        <w:numPr>
          <w:ilvl w:val="0"/>
          <w:numId w:val="4"/>
        </w:numPr>
        <w:ind w:left="360"/>
        <w:jc w:val="both"/>
        <w:rPr>
          <w:rFonts w:ascii="Arial" w:hAnsi="Arial" w:cs="Arial"/>
          <w:sz w:val="20"/>
          <w:szCs w:val="20"/>
        </w:rPr>
      </w:pPr>
      <w:r w:rsidRPr="002D2201">
        <w:rPr>
          <w:rFonts w:ascii="Arial" w:hAnsi="Arial" w:cs="Arial"/>
          <w:sz w:val="20"/>
          <w:szCs w:val="20"/>
        </w:rPr>
        <w:t>Panel 2: Prevención de violencias y entornos protectores.</w:t>
      </w:r>
    </w:p>
    <w:p w:rsidR="003317F4" w:rsidRPr="002D2201" w:rsidRDefault="002C4B1F" w:rsidP="002D2201">
      <w:pPr>
        <w:pStyle w:val="Prrafodelista"/>
        <w:numPr>
          <w:ilvl w:val="0"/>
          <w:numId w:val="4"/>
        </w:numPr>
        <w:ind w:left="360"/>
        <w:jc w:val="both"/>
        <w:rPr>
          <w:rFonts w:ascii="Arial" w:hAnsi="Arial" w:cs="Arial"/>
          <w:sz w:val="20"/>
          <w:szCs w:val="20"/>
        </w:rPr>
      </w:pPr>
      <w:r w:rsidRPr="002D2201">
        <w:rPr>
          <w:rFonts w:ascii="Arial" w:hAnsi="Arial" w:cs="Arial"/>
          <w:sz w:val="20"/>
          <w:szCs w:val="20"/>
        </w:rPr>
        <w:t>Pausa para refrigerio.</w:t>
      </w:r>
    </w:p>
    <w:p w:rsidR="002D2201" w:rsidRDefault="002C4B1F" w:rsidP="002D2201">
      <w:pPr>
        <w:pStyle w:val="Prrafodelista"/>
        <w:numPr>
          <w:ilvl w:val="0"/>
          <w:numId w:val="4"/>
        </w:numPr>
        <w:ind w:left="360"/>
        <w:jc w:val="both"/>
        <w:rPr>
          <w:rFonts w:ascii="Arial" w:hAnsi="Arial" w:cs="Arial"/>
          <w:sz w:val="20"/>
          <w:szCs w:val="20"/>
        </w:rPr>
      </w:pPr>
      <w:r w:rsidRPr="002D2201">
        <w:rPr>
          <w:rFonts w:ascii="Arial" w:hAnsi="Arial" w:cs="Arial"/>
          <w:sz w:val="20"/>
          <w:szCs w:val="20"/>
        </w:rPr>
        <w:t>Panel 3: Brecha digital.</w:t>
      </w:r>
    </w:p>
    <w:p w:rsidR="003317F4" w:rsidRDefault="003317F4" w:rsidP="002D2201">
      <w:pPr>
        <w:pStyle w:val="Prrafodelista"/>
        <w:numPr>
          <w:ilvl w:val="0"/>
          <w:numId w:val="4"/>
        </w:numPr>
        <w:ind w:left="360"/>
        <w:jc w:val="both"/>
        <w:rPr>
          <w:rFonts w:ascii="Arial" w:hAnsi="Arial" w:cs="Arial"/>
          <w:sz w:val="20"/>
          <w:szCs w:val="20"/>
        </w:rPr>
      </w:pPr>
      <w:r w:rsidRPr="002D2201">
        <w:rPr>
          <w:rFonts w:ascii="Arial" w:hAnsi="Arial" w:cs="Arial"/>
          <w:sz w:val="20"/>
          <w:szCs w:val="20"/>
        </w:rPr>
        <w:t>Clausura.</w:t>
      </w:r>
    </w:p>
    <w:p w:rsidR="00063DDF" w:rsidRPr="00063DDF" w:rsidRDefault="00063DDF" w:rsidP="00063DDF">
      <w:pPr>
        <w:jc w:val="both"/>
        <w:rPr>
          <w:rFonts w:ascii="Arial" w:hAnsi="Arial" w:cs="Arial"/>
          <w:b/>
          <w:sz w:val="20"/>
          <w:szCs w:val="20"/>
        </w:rPr>
      </w:pPr>
      <w:r w:rsidRPr="00063DDF">
        <w:rPr>
          <w:rFonts w:ascii="Arial" w:hAnsi="Arial" w:cs="Arial"/>
          <w:b/>
          <w:sz w:val="20"/>
          <w:szCs w:val="20"/>
        </w:rPr>
        <w:t>OBJETIVO DEL EVENTO:</w:t>
      </w:r>
    </w:p>
    <w:p w:rsidR="00063DDF" w:rsidRPr="00063DDF" w:rsidRDefault="00063DDF" w:rsidP="00063DDF">
      <w:pPr>
        <w:jc w:val="both"/>
        <w:rPr>
          <w:rFonts w:ascii="Arial" w:hAnsi="Arial" w:cs="Arial"/>
          <w:sz w:val="20"/>
          <w:szCs w:val="20"/>
        </w:rPr>
      </w:pPr>
      <w:r w:rsidRPr="00063DDF">
        <w:rPr>
          <w:rFonts w:ascii="Arial" w:hAnsi="Arial" w:cs="Arial"/>
          <w:sz w:val="20"/>
          <w:szCs w:val="20"/>
        </w:rPr>
        <w:t>Propiciar un espacio participativo y de intercambio académico que aporte insumos para la formulación y la construcción de los ideales de la nueva Política Pública Social para las personas mayores en Bogotá 2026-2036 en el marco de la celebración de mes del Envejecimiento, los aportes a la Década del Envejecimiento, de acuerdo a lo establecido por la ONU en la Agenda 2030, así como las apuestas para combatir el edadismo, la inclusión de nuevas tecnologías en servicios de cuidado y prevención de abandono y los retos de las nuevas longevidades.</w:t>
      </w:r>
    </w:p>
    <w:p w:rsidR="00063DDF" w:rsidRPr="00063DDF" w:rsidRDefault="00063DDF" w:rsidP="00063DDF">
      <w:pPr>
        <w:jc w:val="both"/>
        <w:rPr>
          <w:rFonts w:ascii="Arial" w:hAnsi="Arial" w:cs="Arial"/>
          <w:sz w:val="20"/>
          <w:szCs w:val="20"/>
        </w:rPr>
      </w:pPr>
    </w:p>
    <w:p w:rsidR="002C4B1F" w:rsidRPr="00BE5980" w:rsidRDefault="002C4B1F" w:rsidP="00FA4AA6">
      <w:pPr>
        <w:contextualSpacing/>
        <w:jc w:val="both"/>
        <w:rPr>
          <w:rFonts w:ascii="Arial" w:hAnsi="Arial" w:cs="Arial"/>
          <w:sz w:val="20"/>
          <w:szCs w:val="20"/>
        </w:rPr>
      </w:pPr>
    </w:p>
    <w:p w:rsidR="00FA4AA6" w:rsidRDefault="00FA4AA6" w:rsidP="00FA4AA6">
      <w:pPr>
        <w:contextualSpacing/>
        <w:jc w:val="both"/>
        <w:rPr>
          <w:rFonts w:ascii="Arial" w:hAnsi="Arial" w:cs="Arial"/>
          <w:b/>
          <w:sz w:val="20"/>
          <w:szCs w:val="20"/>
        </w:rPr>
      </w:pPr>
      <w:r w:rsidRPr="00BE5980">
        <w:rPr>
          <w:rFonts w:ascii="Arial" w:hAnsi="Arial" w:cs="Arial"/>
          <w:b/>
          <w:sz w:val="20"/>
          <w:szCs w:val="20"/>
        </w:rPr>
        <w:lastRenderedPageBreak/>
        <w:t>DESARROLLO:</w:t>
      </w:r>
    </w:p>
    <w:p w:rsidR="00D02B3B" w:rsidRPr="00D02B3B" w:rsidRDefault="00D02B3B" w:rsidP="00D02B3B">
      <w:pPr>
        <w:pStyle w:val="Prrafodelista"/>
        <w:numPr>
          <w:ilvl w:val="0"/>
          <w:numId w:val="1"/>
        </w:numPr>
        <w:ind w:left="0"/>
        <w:rPr>
          <w:rFonts w:ascii="Arial" w:hAnsi="Arial" w:cs="Arial"/>
          <w:b/>
          <w:sz w:val="20"/>
          <w:szCs w:val="20"/>
        </w:rPr>
      </w:pPr>
      <w:r w:rsidRPr="00D02B3B">
        <w:rPr>
          <w:rFonts w:ascii="Arial" w:hAnsi="Arial" w:cs="Arial"/>
          <w:b/>
          <w:sz w:val="20"/>
          <w:szCs w:val="20"/>
        </w:rPr>
        <w:t>Apertura del Evento</w:t>
      </w:r>
    </w:p>
    <w:p w:rsidR="00D02B3B" w:rsidRPr="00D02B3B" w:rsidRDefault="00D02B3B" w:rsidP="00D02B3B">
      <w:pPr>
        <w:jc w:val="both"/>
        <w:rPr>
          <w:rFonts w:ascii="Arial" w:hAnsi="Arial" w:cs="Arial"/>
          <w:sz w:val="20"/>
          <w:szCs w:val="20"/>
        </w:rPr>
      </w:pPr>
      <w:r w:rsidRPr="00D02B3B">
        <w:rPr>
          <w:rFonts w:ascii="Arial" w:hAnsi="Arial" w:cs="Arial"/>
          <w:sz w:val="20"/>
          <w:szCs w:val="20"/>
        </w:rPr>
        <w:t>El maestro/a de ceremonia dio la bienvenida en nombre de la Secretaría Distrital de Integración Social al Panel Bogotá 2035: Una Ciudad para las Personas Mayores, realizado en el marco del Mes del Envejecimiento y la Vejez. Se resaltó que el encuentro busca abrir un espacio académico y participativo para aportar a la formulación de la nueva Política Pública Social para las Personas Mayores 2026-2036, en coherencia con la Década del Envejecimiento Saludable 2021–2030, la Convención Interamericana sobre la Protección de los Derechos Humanos de las Personas Mayores (Ley 2055 de 2020) y la Agenda 2030 de los ODS.</w:t>
      </w:r>
    </w:p>
    <w:p w:rsidR="00FA4AA6" w:rsidRPr="00067C6E" w:rsidRDefault="00D02B3B" w:rsidP="00FA4AA6">
      <w:pPr>
        <w:jc w:val="both"/>
        <w:rPr>
          <w:rFonts w:ascii="Arial" w:hAnsi="Arial" w:cs="Arial"/>
          <w:b/>
          <w:bCs/>
          <w:sz w:val="20"/>
          <w:szCs w:val="20"/>
        </w:rPr>
      </w:pPr>
      <w:r w:rsidRPr="00D02B3B">
        <w:rPr>
          <w:rFonts w:ascii="Arial" w:hAnsi="Arial" w:cs="Arial"/>
          <w:sz w:val="20"/>
          <w:szCs w:val="20"/>
        </w:rPr>
        <w:t>Se realizó el saludo protocolario a los directivos de la Secretaría, panelistas invitados, la moderadora Dra. María Fernanda Reyes, personas mayores de los Consejos Locales y Distrital de Sabios y Sabias, así como demás asistentes. Posteriormente, se entonaron el Himno Nacional de Colombia y el Himno de Bogotá. Finalmente, el directivo de la SDIS ofreció las palabras de apertura e instalación del evento.</w:t>
      </w:r>
      <w:r w:rsidR="00FA4AA6" w:rsidRPr="00E944D7">
        <w:rPr>
          <w:rFonts w:ascii="Arial" w:hAnsi="Arial" w:cs="Arial"/>
          <w:b/>
          <w:bCs/>
          <w:sz w:val="20"/>
          <w:szCs w:val="20"/>
        </w:rPr>
        <w:t xml:space="preserve"> </w:t>
      </w:r>
    </w:p>
    <w:p w:rsidR="00984A3A" w:rsidRPr="00067C6E" w:rsidRDefault="00872957" w:rsidP="00984A3A">
      <w:pPr>
        <w:pStyle w:val="Prrafodelista"/>
        <w:numPr>
          <w:ilvl w:val="0"/>
          <w:numId w:val="1"/>
        </w:numPr>
        <w:ind w:left="0"/>
        <w:jc w:val="both"/>
        <w:rPr>
          <w:rFonts w:ascii="Arial" w:hAnsi="Arial" w:cs="Arial"/>
          <w:b/>
          <w:bCs/>
          <w:sz w:val="20"/>
          <w:szCs w:val="20"/>
        </w:rPr>
      </w:pPr>
      <w:r>
        <w:rPr>
          <w:rFonts w:ascii="Arial" w:hAnsi="Arial" w:cs="Arial"/>
          <w:b/>
          <w:bCs/>
          <w:sz w:val="20"/>
          <w:szCs w:val="20"/>
        </w:rPr>
        <w:t xml:space="preserve">Panel 1: </w:t>
      </w:r>
      <w:r w:rsidRPr="00872957">
        <w:rPr>
          <w:rFonts w:ascii="Arial" w:hAnsi="Arial" w:cs="Arial"/>
          <w:b/>
          <w:bCs/>
          <w:sz w:val="20"/>
          <w:szCs w:val="20"/>
        </w:rPr>
        <w:t>Seguridad económica y economía plateada.</w:t>
      </w:r>
    </w:p>
    <w:p w:rsidR="00984A3A" w:rsidRPr="00984A3A" w:rsidRDefault="00984A3A" w:rsidP="00984A3A">
      <w:pPr>
        <w:pStyle w:val="Prrafodelista"/>
        <w:ind w:left="0"/>
        <w:jc w:val="both"/>
        <w:rPr>
          <w:rFonts w:ascii="Arial" w:hAnsi="Arial" w:cs="Arial"/>
          <w:b/>
          <w:sz w:val="20"/>
          <w:szCs w:val="20"/>
        </w:rPr>
      </w:pPr>
      <w:r w:rsidRPr="00984A3A">
        <w:rPr>
          <w:rFonts w:ascii="Arial" w:hAnsi="Arial" w:cs="Arial"/>
          <w:b/>
          <w:sz w:val="20"/>
          <w:szCs w:val="20"/>
        </w:rPr>
        <w:t xml:space="preserve">Panelistas: </w:t>
      </w:r>
    </w:p>
    <w:p w:rsidR="00984A3A" w:rsidRPr="009D331A" w:rsidRDefault="009D331A" w:rsidP="009D331A">
      <w:pPr>
        <w:pStyle w:val="Prrafodelista"/>
        <w:ind w:left="0"/>
        <w:jc w:val="both"/>
        <w:rPr>
          <w:rFonts w:ascii="Arial" w:hAnsi="Arial" w:cs="Arial"/>
          <w:sz w:val="20"/>
          <w:szCs w:val="20"/>
        </w:rPr>
      </w:pPr>
      <w:r w:rsidRPr="009D331A">
        <w:rPr>
          <w:rFonts w:ascii="Arial" w:hAnsi="Arial" w:cs="Arial"/>
          <w:b/>
          <w:sz w:val="20"/>
          <w:szCs w:val="20"/>
        </w:rPr>
        <w:t>Catalina Santana</w:t>
      </w:r>
      <w:r w:rsidR="00984A3A" w:rsidRPr="009D331A">
        <w:rPr>
          <w:rFonts w:ascii="Arial" w:hAnsi="Arial" w:cs="Arial"/>
          <w:b/>
          <w:sz w:val="20"/>
          <w:szCs w:val="20"/>
        </w:rPr>
        <w:t>:</w:t>
      </w:r>
      <w:r w:rsidR="00984A3A" w:rsidRPr="00984A3A">
        <w:rPr>
          <w:rFonts w:ascii="Arial" w:hAnsi="Arial" w:cs="Arial"/>
          <w:sz w:val="20"/>
          <w:szCs w:val="20"/>
        </w:rPr>
        <w:t xml:space="preserve"> </w:t>
      </w:r>
      <w:r w:rsidRPr="009D331A">
        <w:rPr>
          <w:rFonts w:ascii="Arial" w:hAnsi="Arial" w:cs="Arial"/>
          <w:sz w:val="20"/>
          <w:szCs w:val="20"/>
        </w:rPr>
        <w:t>101 Ideas</w:t>
      </w:r>
    </w:p>
    <w:p w:rsidR="00984A3A" w:rsidRPr="009D331A" w:rsidRDefault="009D331A" w:rsidP="009D331A">
      <w:pPr>
        <w:pStyle w:val="Prrafodelista"/>
        <w:ind w:left="0"/>
        <w:jc w:val="both"/>
        <w:rPr>
          <w:rFonts w:ascii="Arial" w:hAnsi="Arial" w:cs="Arial"/>
          <w:sz w:val="20"/>
          <w:szCs w:val="20"/>
        </w:rPr>
      </w:pPr>
      <w:r w:rsidRPr="009D331A">
        <w:rPr>
          <w:rFonts w:ascii="Arial" w:hAnsi="Arial" w:cs="Arial"/>
          <w:b/>
          <w:sz w:val="20"/>
          <w:szCs w:val="20"/>
        </w:rPr>
        <w:t>Mauricio Olivera</w:t>
      </w:r>
      <w:r w:rsidR="00984A3A" w:rsidRPr="009D331A">
        <w:rPr>
          <w:rFonts w:ascii="Arial" w:hAnsi="Arial" w:cs="Arial"/>
          <w:b/>
          <w:sz w:val="20"/>
          <w:szCs w:val="20"/>
        </w:rPr>
        <w:t>:</w:t>
      </w:r>
      <w:r w:rsidR="00984A3A" w:rsidRPr="00984A3A">
        <w:rPr>
          <w:rFonts w:ascii="Arial" w:hAnsi="Arial" w:cs="Arial"/>
          <w:sz w:val="20"/>
          <w:szCs w:val="20"/>
        </w:rPr>
        <w:t xml:space="preserve"> </w:t>
      </w:r>
      <w:r w:rsidRPr="009D331A">
        <w:rPr>
          <w:rFonts w:ascii="Arial" w:hAnsi="Arial" w:cs="Arial"/>
          <w:sz w:val="20"/>
          <w:szCs w:val="20"/>
        </w:rPr>
        <w:t>Vicerrector Universidad de los Andes</w:t>
      </w:r>
    </w:p>
    <w:p w:rsidR="00984A3A" w:rsidRDefault="00984A3A" w:rsidP="00984A3A">
      <w:pPr>
        <w:pStyle w:val="Prrafodelista"/>
        <w:ind w:left="0"/>
        <w:jc w:val="both"/>
        <w:rPr>
          <w:rFonts w:ascii="Arial" w:hAnsi="Arial" w:cs="Arial"/>
          <w:sz w:val="20"/>
          <w:szCs w:val="20"/>
        </w:rPr>
      </w:pPr>
    </w:p>
    <w:p w:rsidR="009D331A" w:rsidRPr="009D331A" w:rsidRDefault="009D331A" w:rsidP="009D331A">
      <w:pPr>
        <w:pStyle w:val="Prrafodelista"/>
        <w:ind w:left="0"/>
        <w:jc w:val="both"/>
        <w:rPr>
          <w:rFonts w:ascii="Arial" w:hAnsi="Arial" w:cs="Arial"/>
          <w:sz w:val="20"/>
          <w:szCs w:val="20"/>
        </w:rPr>
      </w:pPr>
      <w:r w:rsidRPr="009D331A">
        <w:rPr>
          <w:rFonts w:ascii="Arial" w:hAnsi="Arial" w:cs="Arial"/>
          <w:sz w:val="20"/>
          <w:szCs w:val="20"/>
        </w:rPr>
        <w:t>La moderadora realizó la presentación de cada uno de los panelistas: Catalina Santana y Mauricio Olivera. Posteriormente, se dio inicio al panel a partir de las siguientes preguntas orientadoras:</w:t>
      </w:r>
    </w:p>
    <w:p w:rsidR="009D331A" w:rsidRPr="009D331A" w:rsidRDefault="009D331A" w:rsidP="009D331A">
      <w:pPr>
        <w:pStyle w:val="Prrafodelista"/>
        <w:ind w:left="0"/>
        <w:jc w:val="both"/>
        <w:rPr>
          <w:rFonts w:ascii="Arial" w:hAnsi="Arial" w:cs="Arial"/>
          <w:sz w:val="20"/>
          <w:szCs w:val="20"/>
        </w:rPr>
      </w:pPr>
    </w:p>
    <w:p w:rsidR="009D331A" w:rsidRPr="009D331A" w:rsidRDefault="009D331A" w:rsidP="009D331A">
      <w:pPr>
        <w:pStyle w:val="Prrafodelista"/>
        <w:numPr>
          <w:ilvl w:val="0"/>
          <w:numId w:val="7"/>
        </w:numPr>
        <w:ind w:left="0"/>
        <w:jc w:val="both"/>
        <w:rPr>
          <w:rFonts w:ascii="Arial" w:hAnsi="Arial" w:cs="Arial"/>
          <w:sz w:val="20"/>
          <w:szCs w:val="20"/>
        </w:rPr>
      </w:pPr>
      <w:r w:rsidRPr="009D331A">
        <w:rPr>
          <w:rFonts w:ascii="Arial" w:hAnsi="Arial" w:cs="Arial"/>
          <w:sz w:val="20"/>
          <w:szCs w:val="20"/>
        </w:rPr>
        <w:t>¿Cómo se podría aportar a la seguridad económica para las personas mayores en los próximos años en Bogotá, en el marco de una nueva Política Pública?</w:t>
      </w:r>
    </w:p>
    <w:p w:rsidR="009D331A" w:rsidRPr="009D331A" w:rsidRDefault="009D331A" w:rsidP="009D331A">
      <w:pPr>
        <w:pStyle w:val="Prrafodelista"/>
        <w:ind w:left="0"/>
        <w:jc w:val="both"/>
        <w:rPr>
          <w:rFonts w:ascii="Arial" w:hAnsi="Arial" w:cs="Arial"/>
          <w:sz w:val="20"/>
          <w:szCs w:val="20"/>
        </w:rPr>
      </w:pPr>
    </w:p>
    <w:p w:rsidR="009D331A" w:rsidRPr="009D331A" w:rsidRDefault="009D331A" w:rsidP="009D331A">
      <w:pPr>
        <w:pStyle w:val="Prrafodelista"/>
        <w:numPr>
          <w:ilvl w:val="0"/>
          <w:numId w:val="7"/>
        </w:numPr>
        <w:ind w:left="0"/>
        <w:jc w:val="both"/>
        <w:rPr>
          <w:rFonts w:ascii="Arial" w:hAnsi="Arial" w:cs="Arial"/>
          <w:sz w:val="20"/>
          <w:szCs w:val="20"/>
        </w:rPr>
      </w:pPr>
      <w:r w:rsidRPr="009D331A">
        <w:rPr>
          <w:rFonts w:ascii="Arial" w:hAnsi="Arial" w:cs="Arial"/>
          <w:sz w:val="20"/>
          <w:szCs w:val="20"/>
        </w:rPr>
        <w:t>¿Cuáles serían las oportunidades y desafíos de la Economía Plateada teniendo en cuenta el envejecimiento poblacional de Bogotá?</w:t>
      </w:r>
    </w:p>
    <w:p w:rsidR="009D331A" w:rsidRPr="009D331A" w:rsidRDefault="009D331A" w:rsidP="009D331A">
      <w:pPr>
        <w:pStyle w:val="Prrafodelista"/>
        <w:ind w:left="0"/>
        <w:jc w:val="both"/>
        <w:rPr>
          <w:rFonts w:ascii="Arial" w:hAnsi="Arial" w:cs="Arial"/>
          <w:sz w:val="20"/>
          <w:szCs w:val="20"/>
        </w:rPr>
      </w:pPr>
    </w:p>
    <w:p w:rsidR="00AB7A70" w:rsidRPr="002176DD" w:rsidRDefault="009D331A" w:rsidP="002176DD">
      <w:pPr>
        <w:pStyle w:val="Prrafodelista"/>
        <w:numPr>
          <w:ilvl w:val="0"/>
          <w:numId w:val="7"/>
        </w:numPr>
        <w:ind w:left="0"/>
        <w:jc w:val="both"/>
        <w:rPr>
          <w:rFonts w:ascii="Arial" w:hAnsi="Arial" w:cs="Arial"/>
          <w:sz w:val="20"/>
          <w:szCs w:val="20"/>
        </w:rPr>
      </w:pPr>
      <w:r w:rsidRPr="009D331A">
        <w:rPr>
          <w:rFonts w:ascii="Arial" w:hAnsi="Arial" w:cs="Arial"/>
          <w:sz w:val="20"/>
          <w:szCs w:val="20"/>
        </w:rPr>
        <w:t>¿Cuál es la importancia de incluir la Economía Plateada en los próximos 10 años para el caso de Bogotá?</w:t>
      </w:r>
    </w:p>
    <w:p w:rsidR="00AB7A70" w:rsidRPr="00984A3A" w:rsidRDefault="00AB7A70" w:rsidP="00AB7A70">
      <w:pPr>
        <w:pStyle w:val="Prrafodelista"/>
        <w:ind w:left="0"/>
        <w:jc w:val="both"/>
        <w:rPr>
          <w:rFonts w:ascii="Arial" w:hAnsi="Arial" w:cs="Arial"/>
          <w:sz w:val="20"/>
          <w:szCs w:val="20"/>
        </w:rPr>
      </w:pPr>
    </w:p>
    <w:p w:rsidR="00FA4AA6" w:rsidRDefault="00984A3A" w:rsidP="00AB7A70">
      <w:pPr>
        <w:pStyle w:val="Prrafodelista"/>
        <w:ind w:left="0"/>
        <w:jc w:val="both"/>
        <w:rPr>
          <w:rFonts w:ascii="Arial" w:hAnsi="Arial" w:cs="Arial"/>
          <w:b/>
          <w:sz w:val="20"/>
          <w:szCs w:val="20"/>
        </w:rPr>
      </w:pPr>
      <w:r w:rsidRPr="00AB7A70">
        <w:rPr>
          <w:rFonts w:ascii="Arial" w:hAnsi="Arial" w:cs="Arial"/>
          <w:b/>
          <w:sz w:val="20"/>
          <w:szCs w:val="20"/>
        </w:rPr>
        <w:t>Consideraciones destacadas:</w:t>
      </w:r>
    </w:p>
    <w:p w:rsidR="00AB7A70" w:rsidRDefault="00AB7A70" w:rsidP="00AB7A70">
      <w:pPr>
        <w:pStyle w:val="Prrafodelista"/>
        <w:ind w:left="0"/>
        <w:jc w:val="both"/>
        <w:rPr>
          <w:rFonts w:ascii="Arial" w:hAnsi="Arial" w:cs="Arial"/>
          <w:sz w:val="20"/>
          <w:szCs w:val="20"/>
        </w:rPr>
      </w:pPr>
    </w:p>
    <w:p w:rsidR="00B76BA6" w:rsidRDefault="00B76BA6" w:rsidP="00AB7A70">
      <w:pPr>
        <w:pStyle w:val="Prrafodelista"/>
        <w:ind w:left="0"/>
        <w:jc w:val="both"/>
        <w:rPr>
          <w:rFonts w:ascii="Arial" w:hAnsi="Arial" w:cs="Arial"/>
          <w:sz w:val="20"/>
          <w:szCs w:val="20"/>
        </w:rPr>
      </w:pPr>
      <w:r w:rsidRPr="00B76BA6">
        <w:rPr>
          <w:rFonts w:ascii="Arial" w:hAnsi="Arial" w:cs="Arial"/>
          <w:b/>
          <w:sz w:val="20"/>
          <w:szCs w:val="20"/>
        </w:rPr>
        <w:t>Catalina Santana</w:t>
      </w:r>
      <w:r w:rsidRPr="00B76BA6">
        <w:rPr>
          <w:rFonts w:ascii="Arial" w:hAnsi="Arial" w:cs="Arial"/>
          <w:sz w:val="20"/>
          <w:szCs w:val="20"/>
        </w:rPr>
        <w:t xml:space="preserve"> destacó la importancia de articular esfuerzos con el sector corporativo y las empresas para impulsar la economía plateada, la cual se encuentra en crecimiento. Señaló que contar con validadores dentro de las organizaciones genera beneficios, mayor tranquilidad y seguridad empresarial. Subrayó la necesidad de implementar pilotos y fondos específicos, así como de preparar la estructura económica antes de que la transición demográfica se intensifique, proyectando que las personas mayores representarán el 30 % del consumo nacional. Recalcó que no se trata solo de una política social necesaria, sino de una estrategia de desarrollo inteligente para el futuro económico del país.</w:t>
      </w:r>
    </w:p>
    <w:p w:rsidR="00067C6E" w:rsidRPr="00AB7A70" w:rsidRDefault="00067C6E" w:rsidP="00AB7A70">
      <w:pPr>
        <w:pStyle w:val="Prrafodelista"/>
        <w:ind w:left="0"/>
        <w:jc w:val="both"/>
        <w:rPr>
          <w:rFonts w:ascii="Arial" w:hAnsi="Arial" w:cs="Arial"/>
          <w:sz w:val="20"/>
          <w:szCs w:val="20"/>
        </w:rPr>
      </w:pPr>
    </w:p>
    <w:p w:rsidR="00AB7A70" w:rsidRPr="00AB7A70" w:rsidRDefault="00AB7A70" w:rsidP="00AB7A70">
      <w:pPr>
        <w:pStyle w:val="Prrafodelista"/>
        <w:ind w:left="0"/>
        <w:jc w:val="both"/>
        <w:rPr>
          <w:rFonts w:ascii="Arial" w:hAnsi="Arial" w:cs="Arial"/>
          <w:sz w:val="20"/>
          <w:szCs w:val="20"/>
        </w:rPr>
      </w:pPr>
      <w:r w:rsidRPr="00AB7A70">
        <w:rPr>
          <w:rFonts w:ascii="Arial" w:hAnsi="Arial" w:cs="Arial"/>
          <w:b/>
          <w:sz w:val="20"/>
          <w:szCs w:val="20"/>
        </w:rPr>
        <w:t>Mauricio Olivera</w:t>
      </w:r>
      <w:r w:rsidRPr="00AB7A70">
        <w:rPr>
          <w:rFonts w:ascii="Arial" w:hAnsi="Arial" w:cs="Arial"/>
          <w:sz w:val="20"/>
          <w:szCs w:val="20"/>
        </w:rPr>
        <w:t xml:space="preserve"> enfatizó que la política de envejecimiento debe trascender el ámbito público e involucrar también al sector privado, reconociendo la economía del cuidado como un área existente pero aún poco valorada. Comparó la productividad laboral, señalando que en Colombia se trabaja más </w:t>
      </w:r>
      <w:r w:rsidRPr="00AB7A70">
        <w:rPr>
          <w:rFonts w:ascii="Arial" w:hAnsi="Arial" w:cs="Arial"/>
          <w:sz w:val="20"/>
          <w:szCs w:val="20"/>
        </w:rPr>
        <w:lastRenderedPageBreak/>
        <w:t>horas que en la Unión Europea, pero se produce solo un 30 % de lo que produce un trabajador europeo por hora, atribuible a la baja productividad y a una formación laboral limitada. Subrayó que el 60 % de los empleadores en Colombia no logra cubrir vacantes por falta de personas con la formación adecuada, evidenciando carencias en la oferta educativa y formativa. Además, mencionó el Decreto 681 de 2022, el cual adopta la Política Pública Nacional de Envejecimiento y Vejez 2022–2031, estableciendo un marco intersectorial para promover un envejecimiento activo, autónomo, digno e inclusivo.</w:t>
      </w:r>
    </w:p>
    <w:p w:rsidR="00984A3A" w:rsidRPr="00984A3A" w:rsidRDefault="00984A3A" w:rsidP="00984A3A">
      <w:pPr>
        <w:pStyle w:val="Prrafodelista"/>
        <w:ind w:left="0"/>
        <w:jc w:val="both"/>
        <w:rPr>
          <w:rFonts w:ascii="Arial" w:hAnsi="Arial" w:cs="Arial"/>
          <w:b/>
          <w:i/>
          <w:sz w:val="20"/>
          <w:szCs w:val="20"/>
        </w:rPr>
      </w:pPr>
    </w:p>
    <w:p w:rsidR="007520D9" w:rsidRPr="00067C6E" w:rsidRDefault="00FA4AA6" w:rsidP="007520D9">
      <w:pPr>
        <w:pStyle w:val="Prrafodelista"/>
        <w:numPr>
          <w:ilvl w:val="0"/>
          <w:numId w:val="1"/>
        </w:numPr>
        <w:ind w:left="0"/>
        <w:rPr>
          <w:rFonts w:ascii="Arial" w:hAnsi="Arial" w:cs="Arial"/>
          <w:b/>
          <w:bCs/>
          <w:sz w:val="20"/>
          <w:szCs w:val="20"/>
        </w:rPr>
      </w:pPr>
      <w:r w:rsidRPr="00872957">
        <w:rPr>
          <w:rFonts w:ascii="Arial" w:hAnsi="Arial" w:cs="Arial"/>
          <w:b/>
          <w:sz w:val="20"/>
          <w:szCs w:val="20"/>
        </w:rPr>
        <w:t xml:space="preserve"> </w:t>
      </w:r>
      <w:r w:rsidR="00872957" w:rsidRPr="00872957">
        <w:rPr>
          <w:rFonts w:ascii="Arial" w:hAnsi="Arial" w:cs="Arial"/>
          <w:b/>
          <w:bCs/>
          <w:sz w:val="20"/>
          <w:szCs w:val="20"/>
        </w:rPr>
        <w:t>Panel 2: Prevención de violencias y entornos protectores.</w:t>
      </w:r>
    </w:p>
    <w:p w:rsidR="00872957" w:rsidRDefault="007520D9" w:rsidP="007520D9">
      <w:pPr>
        <w:pStyle w:val="Prrafodelista"/>
        <w:ind w:left="0"/>
        <w:rPr>
          <w:rFonts w:ascii="Arial" w:hAnsi="Arial" w:cs="Arial"/>
          <w:b/>
          <w:bCs/>
          <w:sz w:val="20"/>
          <w:szCs w:val="20"/>
        </w:rPr>
      </w:pPr>
      <w:r>
        <w:rPr>
          <w:rFonts w:ascii="Arial" w:hAnsi="Arial" w:cs="Arial"/>
          <w:b/>
          <w:bCs/>
          <w:sz w:val="20"/>
          <w:szCs w:val="20"/>
        </w:rPr>
        <w:t xml:space="preserve">Panelistas: </w:t>
      </w:r>
    </w:p>
    <w:p w:rsidR="007520D9" w:rsidRDefault="007520D9" w:rsidP="007520D9">
      <w:pPr>
        <w:pStyle w:val="Prrafodelista"/>
        <w:ind w:left="0"/>
        <w:rPr>
          <w:rFonts w:ascii="Arial" w:hAnsi="Arial" w:cs="Arial"/>
          <w:b/>
          <w:bCs/>
          <w:sz w:val="20"/>
          <w:szCs w:val="20"/>
        </w:rPr>
      </w:pPr>
      <w:r w:rsidRPr="007520D9">
        <w:rPr>
          <w:rFonts w:ascii="Arial" w:hAnsi="Arial" w:cs="Arial"/>
          <w:b/>
          <w:bCs/>
          <w:sz w:val="20"/>
          <w:szCs w:val="20"/>
        </w:rPr>
        <w:t>María Cristina Tobón</w:t>
      </w:r>
      <w:r>
        <w:rPr>
          <w:rFonts w:ascii="Arial" w:hAnsi="Arial" w:cs="Arial"/>
          <w:b/>
          <w:bCs/>
          <w:sz w:val="20"/>
          <w:szCs w:val="20"/>
        </w:rPr>
        <w:t xml:space="preserve">: </w:t>
      </w:r>
      <w:r w:rsidRPr="007520D9">
        <w:rPr>
          <w:rFonts w:ascii="Arial" w:hAnsi="Arial" w:cs="Arial"/>
          <w:bCs/>
          <w:sz w:val="20"/>
          <w:szCs w:val="20"/>
        </w:rPr>
        <w:t>Subdirectora para la vejez</w:t>
      </w:r>
      <w:r w:rsidR="00063DDF">
        <w:rPr>
          <w:rFonts w:ascii="Arial" w:hAnsi="Arial" w:cs="Arial"/>
          <w:bCs/>
          <w:sz w:val="20"/>
          <w:szCs w:val="20"/>
        </w:rPr>
        <w:t xml:space="preserve"> SDIS</w:t>
      </w:r>
    </w:p>
    <w:p w:rsidR="007520D9" w:rsidRPr="007520D9" w:rsidRDefault="007520D9" w:rsidP="007520D9">
      <w:pPr>
        <w:pStyle w:val="Prrafodelista"/>
        <w:ind w:left="0"/>
        <w:rPr>
          <w:rFonts w:ascii="Arial" w:hAnsi="Arial" w:cs="Arial"/>
          <w:b/>
          <w:bCs/>
          <w:sz w:val="20"/>
          <w:szCs w:val="20"/>
        </w:rPr>
      </w:pPr>
      <w:r w:rsidRPr="007520D9">
        <w:rPr>
          <w:rFonts w:ascii="Arial" w:hAnsi="Arial" w:cs="Arial"/>
          <w:b/>
          <w:bCs/>
          <w:sz w:val="20"/>
          <w:szCs w:val="20"/>
        </w:rPr>
        <w:t>Ana María Sánchez</w:t>
      </w:r>
      <w:r>
        <w:rPr>
          <w:rFonts w:ascii="Arial" w:hAnsi="Arial" w:cs="Arial"/>
          <w:b/>
          <w:bCs/>
          <w:sz w:val="20"/>
          <w:szCs w:val="20"/>
        </w:rPr>
        <w:t xml:space="preserve">: </w:t>
      </w:r>
      <w:r w:rsidRPr="007520D9">
        <w:rPr>
          <w:rFonts w:ascii="Arial" w:hAnsi="Arial" w:cs="Arial"/>
          <w:bCs/>
          <w:sz w:val="20"/>
          <w:szCs w:val="20"/>
        </w:rPr>
        <w:t>Defensora delegada para la infancia y la vejez, defensoría del pueblo.</w:t>
      </w:r>
    </w:p>
    <w:p w:rsidR="00984A3A" w:rsidRDefault="007520D9" w:rsidP="007520D9">
      <w:pPr>
        <w:pStyle w:val="Prrafodelista"/>
        <w:ind w:left="0"/>
        <w:rPr>
          <w:rFonts w:ascii="Arial" w:hAnsi="Arial" w:cs="Arial"/>
          <w:b/>
          <w:bCs/>
          <w:sz w:val="20"/>
          <w:szCs w:val="20"/>
        </w:rPr>
      </w:pPr>
      <w:r w:rsidRPr="007520D9">
        <w:rPr>
          <w:rFonts w:ascii="Arial" w:hAnsi="Arial" w:cs="Arial"/>
          <w:b/>
          <w:bCs/>
          <w:sz w:val="20"/>
          <w:szCs w:val="20"/>
        </w:rPr>
        <w:t>María Luisa Arenas</w:t>
      </w:r>
      <w:r>
        <w:rPr>
          <w:rFonts w:ascii="Arial" w:hAnsi="Arial" w:cs="Arial"/>
          <w:b/>
          <w:bCs/>
          <w:sz w:val="20"/>
          <w:szCs w:val="20"/>
        </w:rPr>
        <w:t>:</w:t>
      </w:r>
      <w:r w:rsidR="00EF4D38">
        <w:rPr>
          <w:rFonts w:ascii="Arial" w:hAnsi="Arial" w:cs="Arial"/>
          <w:b/>
          <w:bCs/>
          <w:sz w:val="20"/>
          <w:szCs w:val="20"/>
        </w:rPr>
        <w:t xml:space="preserve"> </w:t>
      </w:r>
      <w:r w:rsidR="00EF4D38" w:rsidRPr="00EF4D38">
        <w:rPr>
          <w:rFonts w:ascii="Arial" w:hAnsi="Arial" w:cs="Arial"/>
          <w:bCs/>
          <w:sz w:val="20"/>
          <w:szCs w:val="20"/>
        </w:rPr>
        <w:t xml:space="preserve">Psicogeriatra </w:t>
      </w:r>
      <w:r w:rsidR="00B31CB4">
        <w:rPr>
          <w:rFonts w:ascii="Arial" w:hAnsi="Arial" w:cs="Arial"/>
          <w:bCs/>
          <w:sz w:val="20"/>
          <w:szCs w:val="20"/>
        </w:rPr>
        <w:t>F</w:t>
      </w:r>
      <w:r w:rsidR="00EF4D38" w:rsidRPr="00EF4D38">
        <w:rPr>
          <w:rFonts w:ascii="Arial" w:hAnsi="Arial" w:cs="Arial"/>
          <w:bCs/>
          <w:sz w:val="20"/>
          <w:szCs w:val="20"/>
        </w:rPr>
        <w:t xml:space="preserve">undación </w:t>
      </w:r>
      <w:r w:rsidR="00B31CB4">
        <w:rPr>
          <w:rFonts w:ascii="Arial" w:hAnsi="Arial" w:cs="Arial"/>
          <w:bCs/>
          <w:sz w:val="20"/>
          <w:szCs w:val="20"/>
        </w:rPr>
        <w:t>S</w:t>
      </w:r>
      <w:r w:rsidR="00EF4D38" w:rsidRPr="00EF4D38">
        <w:rPr>
          <w:rFonts w:ascii="Arial" w:hAnsi="Arial" w:cs="Arial"/>
          <w:bCs/>
          <w:sz w:val="20"/>
          <w:szCs w:val="20"/>
        </w:rPr>
        <w:t>anta fe</w:t>
      </w:r>
      <w:r w:rsidR="005174F6">
        <w:rPr>
          <w:rFonts w:ascii="Arial" w:hAnsi="Arial" w:cs="Arial"/>
          <w:bCs/>
          <w:sz w:val="20"/>
          <w:szCs w:val="20"/>
        </w:rPr>
        <w:t xml:space="preserve"> de </w:t>
      </w:r>
      <w:r w:rsidR="00EF4D38" w:rsidRPr="00EF4D38">
        <w:rPr>
          <w:rFonts w:ascii="Arial" w:hAnsi="Arial" w:cs="Arial"/>
          <w:bCs/>
          <w:sz w:val="20"/>
          <w:szCs w:val="20"/>
        </w:rPr>
        <w:t>Bogotá</w:t>
      </w:r>
      <w:r w:rsidR="00B31CB4">
        <w:rPr>
          <w:rFonts w:ascii="Arial" w:hAnsi="Arial" w:cs="Arial"/>
          <w:b/>
          <w:bCs/>
          <w:sz w:val="20"/>
          <w:szCs w:val="20"/>
        </w:rPr>
        <w:t>.</w:t>
      </w:r>
    </w:p>
    <w:p w:rsidR="00984A3A" w:rsidRDefault="00984A3A" w:rsidP="007520D9">
      <w:pPr>
        <w:pStyle w:val="Prrafodelista"/>
        <w:ind w:left="0"/>
        <w:rPr>
          <w:rFonts w:ascii="Arial" w:hAnsi="Arial" w:cs="Arial"/>
          <w:b/>
          <w:bCs/>
          <w:sz w:val="20"/>
          <w:szCs w:val="20"/>
        </w:rPr>
      </w:pPr>
    </w:p>
    <w:p w:rsidR="00984A3A" w:rsidRPr="00984A3A" w:rsidRDefault="00984A3A" w:rsidP="00984A3A">
      <w:pPr>
        <w:pStyle w:val="Prrafodelista"/>
        <w:ind w:left="0"/>
        <w:rPr>
          <w:rFonts w:ascii="Arial" w:hAnsi="Arial" w:cs="Arial"/>
          <w:bCs/>
          <w:sz w:val="20"/>
          <w:szCs w:val="20"/>
        </w:rPr>
      </w:pPr>
      <w:r w:rsidRPr="00984A3A">
        <w:rPr>
          <w:rFonts w:ascii="Arial" w:hAnsi="Arial" w:cs="Arial"/>
          <w:bCs/>
          <w:sz w:val="20"/>
          <w:szCs w:val="20"/>
        </w:rPr>
        <w:t>La moderadora realizó la presentación de cada uno de los panelistas: María Cristina Tobón, Ana María Sánchez y María Luisa Arenas. Posteriormente, se dio inicio al panel a partir de las siguientes preguntas orientadoras:</w:t>
      </w:r>
    </w:p>
    <w:p w:rsidR="00984A3A" w:rsidRPr="00984A3A" w:rsidRDefault="00984A3A" w:rsidP="00984A3A">
      <w:pPr>
        <w:pStyle w:val="Prrafodelista"/>
        <w:ind w:left="0"/>
        <w:rPr>
          <w:rFonts w:ascii="Arial" w:hAnsi="Arial" w:cs="Arial"/>
          <w:bCs/>
          <w:sz w:val="20"/>
          <w:szCs w:val="20"/>
        </w:rPr>
      </w:pPr>
    </w:p>
    <w:p w:rsidR="00984A3A" w:rsidRPr="00984A3A" w:rsidRDefault="00984A3A" w:rsidP="00984A3A">
      <w:pPr>
        <w:pStyle w:val="Prrafodelista"/>
        <w:numPr>
          <w:ilvl w:val="0"/>
          <w:numId w:val="5"/>
        </w:numPr>
        <w:ind w:left="0"/>
        <w:rPr>
          <w:rFonts w:ascii="Arial" w:hAnsi="Arial" w:cs="Arial"/>
          <w:bCs/>
          <w:sz w:val="20"/>
          <w:szCs w:val="20"/>
        </w:rPr>
      </w:pPr>
      <w:r w:rsidRPr="00984A3A">
        <w:rPr>
          <w:rFonts w:ascii="Arial" w:hAnsi="Arial" w:cs="Arial"/>
          <w:bCs/>
          <w:sz w:val="20"/>
          <w:szCs w:val="20"/>
        </w:rPr>
        <w:t>¿Qué factores estructurales y culturales perpetúan formas de violencia hacia las personas mayores, y cómo podríamos abordarlos desde una política pública en Bogotá?</w:t>
      </w:r>
    </w:p>
    <w:p w:rsidR="00984A3A" w:rsidRPr="00984A3A" w:rsidRDefault="00984A3A" w:rsidP="00984A3A">
      <w:pPr>
        <w:pStyle w:val="Prrafodelista"/>
        <w:ind w:left="0"/>
        <w:rPr>
          <w:rFonts w:ascii="Arial" w:hAnsi="Arial" w:cs="Arial"/>
          <w:bCs/>
          <w:sz w:val="20"/>
          <w:szCs w:val="20"/>
        </w:rPr>
      </w:pPr>
    </w:p>
    <w:p w:rsidR="00984A3A" w:rsidRPr="00984A3A" w:rsidRDefault="00984A3A" w:rsidP="00984A3A">
      <w:pPr>
        <w:pStyle w:val="Prrafodelista"/>
        <w:numPr>
          <w:ilvl w:val="0"/>
          <w:numId w:val="5"/>
        </w:numPr>
        <w:ind w:left="0"/>
        <w:rPr>
          <w:rFonts w:ascii="Arial" w:hAnsi="Arial" w:cs="Arial"/>
          <w:bCs/>
          <w:sz w:val="20"/>
          <w:szCs w:val="20"/>
        </w:rPr>
      </w:pPr>
      <w:r w:rsidRPr="00984A3A">
        <w:rPr>
          <w:rFonts w:ascii="Arial" w:hAnsi="Arial" w:cs="Arial"/>
          <w:bCs/>
          <w:sz w:val="20"/>
          <w:szCs w:val="20"/>
        </w:rPr>
        <w:t>¿Cuáles son los criterios fundamentales que debería cumplir un “entorno protector” para las personas mayores en contextos urbanos y rurales, teniendo en cuenta los cambios demográficos y familiares actuales?</w:t>
      </w:r>
    </w:p>
    <w:p w:rsidR="00984A3A" w:rsidRPr="00984A3A" w:rsidRDefault="00984A3A" w:rsidP="00984A3A">
      <w:pPr>
        <w:pStyle w:val="Prrafodelista"/>
        <w:ind w:left="0"/>
        <w:rPr>
          <w:rFonts w:ascii="Arial" w:hAnsi="Arial" w:cs="Arial"/>
          <w:bCs/>
          <w:sz w:val="20"/>
          <w:szCs w:val="20"/>
        </w:rPr>
      </w:pPr>
    </w:p>
    <w:p w:rsidR="00984A3A" w:rsidRPr="00984A3A" w:rsidRDefault="00984A3A" w:rsidP="00984A3A">
      <w:pPr>
        <w:pStyle w:val="Prrafodelista"/>
        <w:numPr>
          <w:ilvl w:val="0"/>
          <w:numId w:val="5"/>
        </w:numPr>
        <w:ind w:left="0"/>
        <w:rPr>
          <w:rFonts w:ascii="Arial" w:hAnsi="Arial" w:cs="Arial"/>
          <w:bCs/>
          <w:sz w:val="20"/>
          <w:szCs w:val="20"/>
        </w:rPr>
      </w:pPr>
      <w:r w:rsidRPr="00984A3A">
        <w:rPr>
          <w:rFonts w:ascii="Arial" w:hAnsi="Arial" w:cs="Arial"/>
          <w:bCs/>
          <w:sz w:val="20"/>
          <w:szCs w:val="20"/>
        </w:rPr>
        <w:t>¿Qué aprendizajes nos dejan las experiencias internacionales o nacionales en políticas de prevención y atención de violencias hacia personas mayores, y qué deberíamos adaptar o evitar en el caso de Bogotá?</w:t>
      </w:r>
    </w:p>
    <w:p w:rsidR="00063DDF" w:rsidRDefault="00063DDF" w:rsidP="007520D9">
      <w:pPr>
        <w:pStyle w:val="Prrafodelista"/>
        <w:ind w:left="0"/>
        <w:rPr>
          <w:rFonts w:ascii="Arial" w:hAnsi="Arial" w:cs="Arial"/>
          <w:b/>
          <w:bCs/>
          <w:sz w:val="20"/>
          <w:szCs w:val="20"/>
        </w:rPr>
      </w:pPr>
    </w:p>
    <w:p w:rsidR="00063DDF" w:rsidRDefault="00063DDF" w:rsidP="007520D9">
      <w:pPr>
        <w:pStyle w:val="Prrafodelista"/>
        <w:ind w:left="0"/>
        <w:rPr>
          <w:rFonts w:ascii="Arial" w:hAnsi="Arial" w:cs="Arial"/>
          <w:b/>
          <w:bCs/>
          <w:sz w:val="20"/>
          <w:szCs w:val="20"/>
        </w:rPr>
      </w:pPr>
      <w:r>
        <w:rPr>
          <w:rFonts w:ascii="Arial" w:hAnsi="Arial" w:cs="Arial"/>
          <w:b/>
          <w:bCs/>
          <w:sz w:val="20"/>
          <w:szCs w:val="20"/>
        </w:rPr>
        <w:t xml:space="preserve">Consideraciones destacadas: </w:t>
      </w:r>
    </w:p>
    <w:p w:rsidR="000A6219" w:rsidRDefault="000A6219" w:rsidP="007520D9">
      <w:pPr>
        <w:pStyle w:val="Prrafodelista"/>
        <w:ind w:left="0"/>
        <w:rPr>
          <w:rFonts w:ascii="Arial" w:hAnsi="Arial" w:cs="Arial"/>
          <w:b/>
          <w:bCs/>
          <w:sz w:val="20"/>
          <w:szCs w:val="20"/>
        </w:rPr>
      </w:pPr>
    </w:p>
    <w:p w:rsidR="00536230" w:rsidRDefault="005174F6" w:rsidP="005174F6">
      <w:pPr>
        <w:pStyle w:val="Prrafodelista"/>
        <w:ind w:left="0"/>
        <w:jc w:val="both"/>
        <w:rPr>
          <w:rFonts w:ascii="Arial" w:hAnsi="Arial" w:cs="Arial"/>
          <w:bCs/>
          <w:sz w:val="20"/>
          <w:szCs w:val="20"/>
        </w:rPr>
      </w:pPr>
      <w:r w:rsidRPr="005174F6">
        <w:rPr>
          <w:rFonts w:ascii="Arial" w:hAnsi="Arial" w:cs="Arial"/>
          <w:b/>
          <w:bCs/>
          <w:sz w:val="20"/>
          <w:szCs w:val="20"/>
        </w:rPr>
        <w:t>María Cristina Tobón</w:t>
      </w:r>
      <w:r w:rsidRPr="005174F6">
        <w:rPr>
          <w:rFonts w:ascii="Arial" w:hAnsi="Arial" w:cs="Arial"/>
          <w:bCs/>
          <w:sz w:val="20"/>
          <w:szCs w:val="20"/>
        </w:rPr>
        <w:t xml:space="preserve"> señaló que la violencia hacia las personas mayores en Bogotá se mantiene por factores como el edadismo, los estereotipos negativos, la pobreza y la soledad. Indicó que en 2024 se registraron 3.208 casos de violencia intrafamiliar, donde el 67,1 % de las víctimas fueron mujeres. Además, el 27,3 % de esta población vive en pobreza monetaria, solo el 39,9 % recibe pensión, y cerca del 40 % reporta sentirse solo, condiciones que incrementan su vulnerabilidad. Propuso que la política pública fortalezca redes de apoyo familiar y comunitario, implemente campañas sostenidas contra la discriminación, mejore el acceso a derechos y servicios, garantice la participación activa y promueva programas de autonomía, aprendizaje y vida activa para las personas mayores.</w:t>
      </w:r>
    </w:p>
    <w:p w:rsidR="00102AD4" w:rsidRDefault="00102AD4" w:rsidP="005174F6">
      <w:pPr>
        <w:pStyle w:val="Prrafodelista"/>
        <w:ind w:left="0"/>
        <w:jc w:val="both"/>
        <w:rPr>
          <w:rFonts w:ascii="Arial" w:hAnsi="Arial" w:cs="Arial"/>
          <w:bCs/>
          <w:sz w:val="20"/>
          <w:szCs w:val="20"/>
        </w:rPr>
      </w:pPr>
      <w:r>
        <w:rPr>
          <w:rFonts w:ascii="Arial" w:hAnsi="Arial" w:cs="Arial"/>
          <w:bCs/>
          <w:sz w:val="20"/>
          <w:szCs w:val="20"/>
        </w:rPr>
        <w:t>R</w:t>
      </w:r>
      <w:r w:rsidRPr="00102AD4">
        <w:rPr>
          <w:rFonts w:ascii="Arial" w:hAnsi="Arial" w:cs="Arial"/>
          <w:bCs/>
          <w:sz w:val="20"/>
          <w:szCs w:val="20"/>
        </w:rPr>
        <w:t>esaltó la importancia de garantizar los derechos humanos de las personas mayores, evitando la normalización de la violencia y transformando la percepción social sobre la vejez. Destacó la necesidad de un enfoque diferencial que reconozca las particularidades de cada localidad en Bogotá y considere la diversidad de la población mayor, incluyendo a la comunidad LGBTI, para promover una atención integral e inclusiva.</w:t>
      </w:r>
    </w:p>
    <w:p w:rsidR="00102AD4" w:rsidRDefault="00102AD4" w:rsidP="005174F6">
      <w:pPr>
        <w:pStyle w:val="Prrafodelista"/>
        <w:ind w:left="0"/>
        <w:jc w:val="both"/>
        <w:rPr>
          <w:rFonts w:ascii="Arial" w:hAnsi="Arial" w:cs="Arial"/>
          <w:bCs/>
          <w:sz w:val="20"/>
          <w:szCs w:val="20"/>
        </w:rPr>
      </w:pPr>
    </w:p>
    <w:p w:rsidR="00102AD4" w:rsidRDefault="00536230" w:rsidP="005174F6">
      <w:pPr>
        <w:pStyle w:val="Prrafodelista"/>
        <w:ind w:left="0"/>
        <w:jc w:val="both"/>
        <w:rPr>
          <w:rFonts w:ascii="Arial" w:hAnsi="Arial" w:cs="Arial"/>
          <w:bCs/>
          <w:sz w:val="20"/>
          <w:szCs w:val="20"/>
        </w:rPr>
      </w:pPr>
      <w:r w:rsidRPr="00536230">
        <w:rPr>
          <w:rFonts w:ascii="Arial" w:hAnsi="Arial" w:cs="Arial"/>
          <w:b/>
          <w:bCs/>
          <w:sz w:val="20"/>
          <w:szCs w:val="20"/>
        </w:rPr>
        <w:lastRenderedPageBreak/>
        <w:t>Ana María Sánchez</w:t>
      </w:r>
      <w:r w:rsidRPr="00536230">
        <w:rPr>
          <w:rFonts w:ascii="Arial" w:hAnsi="Arial" w:cs="Arial"/>
          <w:bCs/>
          <w:sz w:val="20"/>
          <w:szCs w:val="20"/>
        </w:rPr>
        <w:t xml:space="preserve"> destacó que el 16 % de la población de Bogotá corresponde a personas mayores y que persiste el estereotipo de que, a mayor edad, son menos productivas, menos valiosas y más vulnerables. Señaló que la fragmentación social incrementa las situaciones de riesgo para esta población y que el aislamiento y la soledad no deben ser condiciones impuestas. Asimismo, advirtió sobre la persistente desigualdad económica que limita su bienestar y autonomía.</w:t>
      </w:r>
    </w:p>
    <w:p w:rsidR="00102AD4" w:rsidRPr="0033741A" w:rsidRDefault="00102AD4" w:rsidP="005174F6">
      <w:pPr>
        <w:pStyle w:val="Prrafodelista"/>
        <w:ind w:left="0"/>
        <w:jc w:val="both"/>
        <w:rPr>
          <w:rFonts w:ascii="Arial" w:hAnsi="Arial" w:cs="Arial"/>
          <w:bCs/>
          <w:sz w:val="20"/>
          <w:szCs w:val="20"/>
        </w:rPr>
      </w:pPr>
      <w:r w:rsidRPr="0033741A">
        <w:rPr>
          <w:rFonts w:ascii="Arial" w:hAnsi="Arial" w:cs="Arial"/>
          <w:sz w:val="20"/>
          <w:szCs w:val="20"/>
        </w:rPr>
        <w:t xml:space="preserve">Señaló la importancia de garantizar la seguridad en los entornos para que las personas mayores puedan deambular y transitar de manera segura, así como contar con espacios dignos que favorezcan su bienestar. Destacó tres factores fundamentales para una vejez plena: </w:t>
      </w:r>
      <w:r w:rsidRPr="0033741A">
        <w:rPr>
          <w:rStyle w:val="Textoennegrita"/>
          <w:rFonts w:ascii="Arial" w:hAnsi="Arial" w:cs="Arial"/>
          <w:sz w:val="20"/>
          <w:szCs w:val="20"/>
        </w:rPr>
        <w:t>vivir bien, vivir sin humillación y vivir como se quiere</w:t>
      </w:r>
      <w:r w:rsidRPr="0033741A">
        <w:rPr>
          <w:rFonts w:ascii="Arial" w:hAnsi="Arial" w:cs="Arial"/>
          <w:sz w:val="20"/>
          <w:szCs w:val="20"/>
        </w:rPr>
        <w:t>.</w:t>
      </w:r>
    </w:p>
    <w:p w:rsidR="00185E16" w:rsidRDefault="00185E16" w:rsidP="005174F6">
      <w:pPr>
        <w:pStyle w:val="Prrafodelista"/>
        <w:ind w:left="0"/>
        <w:jc w:val="both"/>
        <w:rPr>
          <w:rFonts w:ascii="Arial" w:hAnsi="Arial" w:cs="Arial"/>
          <w:bCs/>
          <w:sz w:val="20"/>
          <w:szCs w:val="20"/>
        </w:rPr>
      </w:pPr>
    </w:p>
    <w:p w:rsidR="00185E16" w:rsidRDefault="00185E16" w:rsidP="005174F6">
      <w:pPr>
        <w:pStyle w:val="Prrafodelista"/>
        <w:ind w:left="0"/>
        <w:jc w:val="both"/>
        <w:rPr>
          <w:rFonts w:ascii="Arial" w:hAnsi="Arial" w:cs="Arial"/>
          <w:bCs/>
          <w:sz w:val="20"/>
          <w:szCs w:val="20"/>
        </w:rPr>
      </w:pPr>
      <w:r w:rsidRPr="00185E16">
        <w:rPr>
          <w:rFonts w:ascii="Arial" w:hAnsi="Arial" w:cs="Arial"/>
          <w:b/>
          <w:bCs/>
          <w:sz w:val="20"/>
          <w:szCs w:val="20"/>
        </w:rPr>
        <w:t>María Luisa Arenas</w:t>
      </w:r>
      <w:r w:rsidRPr="00185E16">
        <w:rPr>
          <w:rFonts w:ascii="Arial" w:hAnsi="Arial" w:cs="Arial"/>
          <w:bCs/>
          <w:sz w:val="20"/>
          <w:szCs w:val="20"/>
        </w:rPr>
        <w:t xml:space="preserve"> enfatizó la importancia de reflexionar sobre cómo nos sentimos frente a nuestra propia vejez y la vejez de los demás, señalando que esta percepción influye en las actitudes, relaciones y formas de cuidado hacia las personas mayores, así como en la construcción de una sociedad más respetuosa e inclusiva.</w:t>
      </w:r>
    </w:p>
    <w:p w:rsidR="00A8373F" w:rsidRDefault="00A8373F" w:rsidP="005174F6">
      <w:pPr>
        <w:pStyle w:val="Prrafodelista"/>
        <w:ind w:left="0"/>
        <w:jc w:val="both"/>
        <w:rPr>
          <w:rFonts w:ascii="Arial" w:hAnsi="Arial" w:cs="Arial"/>
          <w:bCs/>
          <w:sz w:val="20"/>
          <w:szCs w:val="20"/>
        </w:rPr>
      </w:pPr>
      <w:r>
        <w:rPr>
          <w:rFonts w:ascii="Arial" w:hAnsi="Arial" w:cs="Arial"/>
          <w:bCs/>
          <w:sz w:val="20"/>
          <w:szCs w:val="20"/>
        </w:rPr>
        <w:t>D</w:t>
      </w:r>
      <w:r w:rsidRPr="00A8373F">
        <w:rPr>
          <w:rFonts w:ascii="Arial" w:hAnsi="Arial" w:cs="Arial"/>
          <w:bCs/>
          <w:sz w:val="20"/>
          <w:szCs w:val="20"/>
        </w:rPr>
        <w:t>estacó la importancia de garantizar una ciudad con infraestructura y sistemas de transporte amigables para las personas mayores. Señaló la necesidad de integrar todos los aspectos que respondan a las demandas y necesidades humanas, promoviendo entornos saludables, accesibles y seguros que favorezcan su movilidad, bienestar y calidad de vida.</w:t>
      </w:r>
    </w:p>
    <w:p w:rsidR="00102AD4" w:rsidRDefault="00102AD4" w:rsidP="001F2C78">
      <w:pPr>
        <w:pStyle w:val="Prrafodelista"/>
        <w:ind w:left="0"/>
        <w:jc w:val="both"/>
        <w:rPr>
          <w:rFonts w:ascii="Arial" w:hAnsi="Arial" w:cs="Arial"/>
          <w:bCs/>
          <w:sz w:val="20"/>
          <w:szCs w:val="20"/>
        </w:rPr>
      </w:pPr>
    </w:p>
    <w:p w:rsidR="001F2C78" w:rsidRPr="00067C6E" w:rsidRDefault="001F2C78" w:rsidP="001F2C78">
      <w:pPr>
        <w:pStyle w:val="Prrafodelista"/>
        <w:numPr>
          <w:ilvl w:val="0"/>
          <w:numId w:val="1"/>
        </w:numPr>
        <w:ind w:left="0"/>
        <w:rPr>
          <w:rFonts w:ascii="Arial" w:hAnsi="Arial" w:cs="Arial"/>
          <w:b/>
          <w:bCs/>
          <w:sz w:val="20"/>
          <w:szCs w:val="20"/>
        </w:rPr>
      </w:pPr>
      <w:r w:rsidRPr="001F2C78">
        <w:rPr>
          <w:rFonts w:ascii="Arial" w:hAnsi="Arial" w:cs="Arial"/>
          <w:b/>
          <w:bCs/>
          <w:sz w:val="20"/>
          <w:szCs w:val="20"/>
        </w:rPr>
        <w:t>Panel 3: Brecha digital</w:t>
      </w:r>
    </w:p>
    <w:p w:rsidR="001F2C78" w:rsidRDefault="001F2C78" w:rsidP="001F2C78">
      <w:pPr>
        <w:pStyle w:val="Prrafodelista"/>
        <w:ind w:left="0"/>
        <w:rPr>
          <w:rFonts w:ascii="Arial" w:hAnsi="Arial" w:cs="Arial"/>
          <w:b/>
          <w:bCs/>
          <w:sz w:val="20"/>
          <w:szCs w:val="20"/>
        </w:rPr>
      </w:pPr>
      <w:r>
        <w:rPr>
          <w:rFonts w:ascii="Arial" w:hAnsi="Arial" w:cs="Arial"/>
          <w:b/>
          <w:bCs/>
          <w:sz w:val="20"/>
          <w:szCs w:val="20"/>
        </w:rPr>
        <w:t xml:space="preserve">Panelistas: </w:t>
      </w:r>
    </w:p>
    <w:p w:rsidR="00EB597B" w:rsidRDefault="001F2C78" w:rsidP="00EB597B">
      <w:pPr>
        <w:pStyle w:val="Prrafodelista"/>
        <w:ind w:left="0"/>
        <w:rPr>
          <w:rFonts w:ascii="Arial" w:hAnsi="Arial" w:cs="Arial"/>
          <w:bCs/>
          <w:sz w:val="20"/>
          <w:szCs w:val="20"/>
        </w:rPr>
      </w:pPr>
      <w:r w:rsidRPr="001F2C78">
        <w:rPr>
          <w:rFonts w:ascii="Arial" w:hAnsi="Arial" w:cs="Arial"/>
          <w:b/>
          <w:bCs/>
          <w:sz w:val="20"/>
          <w:szCs w:val="20"/>
        </w:rPr>
        <w:t>Diana Arenas</w:t>
      </w:r>
      <w:r>
        <w:rPr>
          <w:rFonts w:ascii="Arial" w:hAnsi="Arial" w:cs="Arial"/>
          <w:b/>
          <w:bCs/>
          <w:sz w:val="20"/>
          <w:szCs w:val="20"/>
        </w:rPr>
        <w:t xml:space="preserve">: </w:t>
      </w:r>
      <w:r w:rsidRPr="001F2C78">
        <w:rPr>
          <w:rFonts w:ascii="Arial" w:hAnsi="Arial" w:cs="Arial"/>
          <w:bCs/>
          <w:sz w:val="20"/>
          <w:szCs w:val="20"/>
        </w:rPr>
        <w:t>Estrategia de Apropiación Digital de Bogotá -Consejería TIC</w:t>
      </w:r>
      <w:r>
        <w:rPr>
          <w:rFonts w:ascii="Arial" w:hAnsi="Arial" w:cs="Arial"/>
          <w:bCs/>
          <w:sz w:val="20"/>
          <w:szCs w:val="20"/>
        </w:rPr>
        <w:t>.</w:t>
      </w:r>
    </w:p>
    <w:p w:rsidR="00EB597B" w:rsidRDefault="00EB597B" w:rsidP="00EB597B">
      <w:pPr>
        <w:pStyle w:val="Prrafodelista"/>
        <w:ind w:left="0"/>
        <w:rPr>
          <w:rFonts w:ascii="Arial" w:hAnsi="Arial" w:cs="Arial"/>
          <w:bCs/>
          <w:sz w:val="20"/>
          <w:szCs w:val="20"/>
        </w:rPr>
      </w:pPr>
      <w:r w:rsidRPr="00EB597B">
        <w:rPr>
          <w:rFonts w:ascii="Arial" w:hAnsi="Arial" w:cs="Arial"/>
          <w:b/>
          <w:bCs/>
          <w:sz w:val="20"/>
          <w:szCs w:val="20"/>
        </w:rPr>
        <w:t>Diego Quiñonez</w:t>
      </w:r>
      <w:r w:rsidR="001F2C78" w:rsidRPr="00EB597B">
        <w:rPr>
          <w:rFonts w:ascii="Arial" w:hAnsi="Arial" w:cs="Arial"/>
          <w:b/>
          <w:bCs/>
          <w:sz w:val="20"/>
          <w:szCs w:val="20"/>
        </w:rPr>
        <w:t>:</w:t>
      </w:r>
      <w:r w:rsidR="001F2C78">
        <w:rPr>
          <w:rFonts w:ascii="Arial" w:hAnsi="Arial" w:cs="Arial"/>
          <w:b/>
          <w:bCs/>
          <w:sz w:val="20"/>
          <w:szCs w:val="20"/>
        </w:rPr>
        <w:t xml:space="preserve"> </w:t>
      </w:r>
      <w:r w:rsidRPr="00EB597B">
        <w:rPr>
          <w:rFonts w:ascii="Arial" w:hAnsi="Arial" w:cs="Arial"/>
          <w:bCs/>
          <w:sz w:val="20"/>
          <w:szCs w:val="20"/>
        </w:rPr>
        <w:t>Presidente Asociación Colombiana de Inteligencia Artificial</w:t>
      </w:r>
    </w:p>
    <w:p w:rsidR="00D23673" w:rsidRDefault="00D23673" w:rsidP="00EB597B">
      <w:pPr>
        <w:pStyle w:val="Prrafodelista"/>
        <w:ind w:left="0"/>
        <w:rPr>
          <w:rFonts w:ascii="Arial" w:hAnsi="Arial" w:cs="Arial"/>
          <w:bCs/>
          <w:sz w:val="20"/>
          <w:szCs w:val="20"/>
        </w:rPr>
      </w:pPr>
    </w:p>
    <w:p w:rsidR="007F56DA" w:rsidRPr="007F56DA" w:rsidRDefault="007F56DA" w:rsidP="007F56DA">
      <w:pPr>
        <w:pStyle w:val="Prrafodelista"/>
        <w:ind w:left="0"/>
        <w:rPr>
          <w:rFonts w:ascii="Arial" w:hAnsi="Arial" w:cs="Arial"/>
          <w:bCs/>
          <w:sz w:val="20"/>
          <w:szCs w:val="20"/>
        </w:rPr>
      </w:pPr>
      <w:r w:rsidRPr="007F56DA">
        <w:rPr>
          <w:rFonts w:ascii="Arial" w:hAnsi="Arial" w:cs="Arial"/>
          <w:bCs/>
          <w:sz w:val="20"/>
          <w:szCs w:val="20"/>
        </w:rPr>
        <w:t>La moderadora realizó la presentación de cada uno de los panelistas: Diana Arenas y Diego Quiñones. Posteriormente, se dio inicio al panel a partir de las siguientes preguntas orientadoras:</w:t>
      </w:r>
    </w:p>
    <w:p w:rsidR="007F56DA" w:rsidRPr="007F56DA" w:rsidRDefault="007F56DA" w:rsidP="007F56DA">
      <w:pPr>
        <w:pStyle w:val="Prrafodelista"/>
        <w:ind w:left="0"/>
        <w:rPr>
          <w:rFonts w:ascii="Arial" w:hAnsi="Arial" w:cs="Arial"/>
          <w:bCs/>
          <w:sz w:val="20"/>
          <w:szCs w:val="20"/>
        </w:rPr>
      </w:pPr>
    </w:p>
    <w:p w:rsidR="007F56DA" w:rsidRPr="007F56DA" w:rsidRDefault="007F56DA" w:rsidP="007F56DA">
      <w:pPr>
        <w:pStyle w:val="Prrafodelista"/>
        <w:numPr>
          <w:ilvl w:val="0"/>
          <w:numId w:val="6"/>
        </w:numPr>
        <w:ind w:left="0"/>
        <w:rPr>
          <w:rFonts w:ascii="Arial" w:hAnsi="Arial" w:cs="Arial"/>
          <w:bCs/>
          <w:sz w:val="20"/>
          <w:szCs w:val="20"/>
        </w:rPr>
      </w:pPr>
      <w:r w:rsidRPr="007F56DA">
        <w:rPr>
          <w:rFonts w:ascii="Arial" w:hAnsi="Arial" w:cs="Arial"/>
          <w:bCs/>
          <w:sz w:val="20"/>
          <w:szCs w:val="20"/>
        </w:rPr>
        <w:t>¿Qué acciones o características de las tecnologías emergentes pueden fortalecer los entornos protectores y potenciar la inclusión digital de las personas mayores en Bogotá durante la próxima década?</w:t>
      </w:r>
    </w:p>
    <w:p w:rsidR="007F56DA" w:rsidRPr="007F56DA" w:rsidRDefault="007F56DA" w:rsidP="007F56DA">
      <w:pPr>
        <w:pStyle w:val="Prrafodelista"/>
        <w:ind w:left="0"/>
        <w:rPr>
          <w:rFonts w:ascii="Arial" w:hAnsi="Arial" w:cs="Arial"/>
          <w:bCs/>
          <w:sz w:val="20"/>
          <w:szCs w:val="20"/>
        </w:rPr>
      </w:pPr>
    </w:p>
    <w:p w:rsidR="007F56DA" w:rsidRPr="007F56DA" w:rsidRDefault="007F56DA" w:rsidP="007F56DA">
      <w:pPr>
        <w:pStyle w:val="Prrafodelista"/>
        <w:numPr>
          <w:ilvl w:val="0"/>
          <w:numId w:val="6"/>
        </w:numPr>
        <w:ind w:left="0"/>
        <w:rPr>
          <w:rFonts w:ascii="Arial" w:hAnsi="Arial" w:cs="Arial"/>
          <w:bCs/>
          <w:sz w:val="20"/>
          <w:szCs w:val="20"/>
        </w:rPr>
      </w:pPr>
      <w:r w:rsidRPr="007F56DA">
        <w:rPr>
          <w:rFonts w:ascii="Arial" w:hAnsi="Arial" w:cs="Arial"/>
          <w:bCs/>
          <w:sz w:val="20"/>
          <w:szCs w:val="20"/>
        </w:rPr>
        <w:t>¿Qué buenas prácticas deberían adoptar las empresas y las entidades públicas al diseñar productos y servicios digitales para garantizar accesibilidad, usabilidad y aceptación por parte de personas mayores con niveles de conocimiento digital diversos?</w:t>
      </w:r>
    </w:p>
    <w:p w:rsidR="007F56DA" w:rsidRPr="007F56DA" w:rsidRDefault="007F56DA" w:rsidP="007F56DA">
      <w:pPr>
        <w:pStyle w:val="Prrafodelista"/>
        <w:ind w:left="0"/>
        <w:rPr>
          <w:rFonts w:ascii="Arial" w:hAnsi="Arial" w:cs="Arial"/>
          <w:bCs/>
          <w:sz w:val="20"/>
          <w:szCs w:val="20"/>
        </w:rPr>
      </w:pPr>
    </w:p>
    <w:p w:rsidR="007F56DA" w:rsidRPr="00EB597B" w:rsidRDefault="007F56DA" w:rsidP="007F56DA">
      <w:pPr>
        <w:pStyle w:val="Prrafodelista"/>
        <w:numPr>
          <w:ilvl w:val="0"/>
          <w:numId w:val="6"/>
        </w:numPr>
        <w:ind w:left="0"/>
        <w:rPr>
          <w:rFonts w:ascii="Arial" w:hAnsi="Arial" w:cs="Arial"/>
          <w:bCs/>
          <w:sz w:val="20"/>
          <w:szCs w:val="20"/>
        </w:rPr>
      </w:pPr>
      <w:r w:rsidRPr="007F56DA">
        <w:rPr>
          <w:rFonts w:ascii="Arial" w:hAnsi="Arial" w:cs="Arial"/>
          <w:bCs/>
          <w:sz w:val="20"/>
          <w:szCs w:val="20"/>
        </w:rPr>
        <w:t>¿Cuáles indicadores o mecanismos de seguimiento recomiendan para evaluar el impacto de las iniciativas tecnológicas dirigidas a reducir la brecha digital?</w:t>
      </w:r>
    </w:p>
    <w:p w:rsidR="001F2C78" w:rsidRDefault="001F2C78" w:rsidP="001F2C78">
      <w:pPr>
        <w:pStyle w:val="Prrafodelista"/>
        <w:ind w:left="0"/>
        <w:rPr>
          <w:rFonts w:ascii="Arial" w:hAnsi="Arial" w:cs="Arial"/>
          <w:b/>
          <w:bCs/>
          <w:sz w:val="20"/>
          <w:szCs w:val="20"/>
        </w:rPr>
      </w:pPr>
    </w:p>
    <w:p w:rsidR="001F2C78" w:rsidRDefault="001F2C78" w:rsidP="001F2C78">
      <w:pPr>
        <w:pStyle w:val="Prrafodelista"/>
        <w:ind w:left="0"/>
        <w:rPr>
          <w:rFonts w:ascii="Arial" w:hAnsi="Arial" w:cs="Arial"/>
          <w:b/>
          <w:bCs/>
          <w:sz w:val="20"/>
          <w:szCs w:val="20"/>
        </w:rPr>
      </w:pPr>
      <w:r>
        <w:rPr>
          <w:rFonts w:ascii="Arial" w:hAnsi="Arial" w:cs="Arial"/>
          <w:b/>
          <w:bCs/>
          <w:sz w:val="20"/>
          <w:szCs w:val="20"/>
        </w:rPr>
        <w:t xml:space="preserve">Consideraciones destacadas: </w:t>
      </w:r>
    </w:p>
    <w:p w:rsidR="001F2C78" w:rsidRDefault="001F2C78" w:rsidP="001F2C78">
      <w:pPr>
        <w:pStyle w:val="Prrafodelista"/>
        <w:ind w:left="0"/>
        <w:rPr>
          <w:rFonts w:ascii="Arial" w:hAnsi="Arial" w:cs="Arial"/>
          <w:b/>
          <w:bCs/>
          <w:sz w:val="20"/>
          <w:szCs w:val="20"/>
        </w:rPr>
      </w:pPr>
    </w:p>
    <w:p w:rsidR="001F2C78" w:rsidRPr="0067083B" w:rsidRDefault="00EB597B" w:rsidP="001F2C78">
      <w:pPr>
        <w:pStyle w:val="Prrafodelista"/>
        <w:ind w:left="0"/>
        <w:jc w:val="both"/>
        <w:rPr>
          <w:rFonts w:ascii="Arial" w:hAnsi="Arial" w:cs="Arial"/>
          <w:sz w:val="20"/>
          <w:szCs w:val="20"/>
        </w:rPr>
      </w:pPr>
      <w:r w:rsidRPr="0067083B">
        <w:rPr>
          <w:rFonts w:ascii="Arial" w:hAnsi="Arial" w:cs="Arial"/>
          <w:b/>
          <w:sz w:val="20"/>
          <w:szCs w:val="20"/>
        </w:rPr>
        <w:t>Diana Arenas</w:t>
      </w:r>
      <w:r w:rsidRPr="0067083B">
        <w:rPr>
          <w:rFonts w:ascii="Arial" w:hAnsi="Arial" w:cs="Arial"/>
          <w:sz w:val="20"/>
          <w:szCs w:val="20"/>
        </w:rPr>
        <w:t xml:space="preserve"> informó que el </w:t>
      </w:r>
      <w:r w:rsidRPr="0067083B">
        <w:rPr>
          <w:rStyle w:val="Textoennegrita"/>
          <w:rFonts w:ascii="Arial" w:hAnsi="Arial" w:cs="Arial"/>
          <w:sz w:val="20"/>
          <w:szCs w:val="20"/>
        </w:rPr>
        <w:t>30 de julio de 2025</w:t>
      </w:r>
      <w:r w:rsidRPr="0067083B">
        <w:rPr>
          <w:rFonts w:ascii="Arial" w:hAnsi="Arial" w:cs="Arial"/>
          <w:sz w:val="20"/>
          <w:szCs w:val="20"/>
        </w:rPr>
        <w:t xml:space="preserve"> fue promulgada la </w:t>
      </w:r>
      <w:r w:rsidRPr="0067083B">
        <w:rPr>
          <w:rStyle w:val="Textoennegrita"/>
          <w:rFonts w:ascii="Arial" w:hAnsi="Arial" w:cs="Arial"/>
          <w:sz w:val="20"/>
          <w:szCs w:val="20"/>
        </w:rPr>
        <w:t>Ley 2507</w:t>
      </w:r>
      <w:r w:rsidRPr="0067083B">
        <w:rPr>
          <w:rFonts w:ascii="Arial" w:hAnsi="Arial" w:cs="Arial"/>
          <w:sz w:val="20"/>
          <w:szCs w:val="20"/>
        </w:rPr>
        <w:t>, mediante la cual los deportes electrónicos (</w:t>
      </w:r>
      <w:proofErr w:type="spellStart"/>
      <w:r w:rsidRPr="0067083B">
        <w:rPr>
          <w:rFonts w:ascii="Arial" w:hAnsi="Arial" w:cs="Arial"/>
          <w:sz w:val="20"/>
          <w:szCs w:val="20"/>
        </w:rPr>
        <w:t>eSports</w:t>
      </w:r>
      <w:proofErr w:type="spellEnd"/>
      <w:r w:rsidRPr="0067083B">
        <w:rPr>
          <w:rFonts w:ascii="Arial" w:hAnsi="Arial" w:cs="Arial"/>
          <w:sz w:val="20"/>
          <w:szCs w:val="20"/>
        </w:rPr>
        <w:t>) fueron reconocidos como disciplina oficial dentro del Sistema Nacional del Deporte. Señaló que esta normativa busca regular la práctica de los juegos electrónicos para evitar procesos de aislamiento social en los jóvenes, promoviendo un uso responsable y fomentando valores deportivos como la inclusión, la ética y la socialización.</w:t>
      </w:r>
    </w:p>
    <w:p w:rsidR="00EB597B" w:rsidRPr="0067083B" w:rsidRDefault="00BB18F2" w:rsidP="001F2C78">
      <w:pPr>
        <w:pStyle w:val="Prrafodelista"/>
        <w:ind w:left="0"/>
        <w:jc w:val="both"/>
        <w:rPr>
          <w:rFonts w:ascii="Arial" w:hAnsi="Arial" w:cs="Arial"/>
          <w:sz w:val="20"/>
          <w:szCs w:val="20"/>
        </w:rPr>
      </w:pPr>
      <w:r w:rsidRPr="0067083B">
        <w:rPr>
          <w:rFonts w:ascii="Arial" w:hAnsi="Arial" w:cs="Arial"/>
          <w:sz w:val="20"/>
          <w:szCs w:val="20"/>
        </w:rPr>
        <w:lastRenderedPageBreak/>
        <w:t>Agregó que es importante comprender cómo la sociedad puede beneficiarse de estas disciplinas emergentes, no solo en las nuevas generaciones, sino también en las personas mayores, fomentando el aprendizaje intergeneracional, el uso de herramientas tecnológicas y la participación activa en entornos digitales que promuevan bienestar, integración y nuevas formas de interacción social.</w:t>
      </w:r>
    </w:p>
    <w:p w:rsidR="00BB18F2" w:rsidRDefault="00BB18F2" w:rsidP="001F2C78">
      <w:pPr>
        <w:pStyle w:val="Prrafodelista"/>
        <w:ind w:left="0"/>
        <w:jc w:val="both"/>
        <w:rPr>
          <w:rFonts w:ascii="Arial" w:hAnsi="Arial" w:cs="Arial"/>
          <w:bCs/>
          <w:sz w:val="20"/>
          <w:szCs w:val="20"/>
        </w:rPr>
      </w:pPr>
    </w:p>
    <w:p w:rsidR="00FA4AA6" w:rsidRDefault="00BB18F2" w:rsidP="00D306C3">
      <w:pPr>
        <w:pStyle w:val="Prrafodelista"/>
        <w:ind w:left="0"/>
        <w:jc w:val="both"/>
        <w:rPr>
          <w:rFonts w:ascii="Arial" w:hAnsi="Arial" w:cs="Arial"/>
          <w:bCs/>
          <w:sz w:val="20"/>
          <w:szCs w:val="20"/>
        </w:rPr>
      </w:pPr>
      <w:r w:rsidRPr="00BB18F2">
        <w:rPr>
          <w:rFonts w:ascii="Arial" w:hAnsi="Arial" w:cs="Arial"/>
          <w:b/>
          <w:bCs/>
          <w:sz w:val="20"/>
          <w:szCs w:val="20"/>
        </w:rPr>
        <w:t>Diego Quiñones Rojas</w:t>
      </w:r>
      <w:r w:rsidR="00984A3A">
        <w:rPr>
          <w:rFonts w:ascii="Arial" w:hAnsi="Arial" w:cs="Arial"/>
          <w:bCs/>
          <w:sz w:val="20"/>
          <w:szCs w:val="20"/>
        </w:rPr>
        <w:t xml:space="preserve"> </w:t>
      </w:r>
      <w:r w:rsidRPr="00BB18F2">
        <w:rPr>
          <w:rFonts w:ascii="Arial" w:hAnsi="Arial" w:cs="Arial"/>
          <w:bCs/>
          <w:sz w:val="20"/>
          <w:szCs w:val="20"/>
        </w:rPr>
        <w:t>resaltó las habilidades analíticas de las personas mayores como base para incorporar el uso de tecnología e inteligencia artificial, destacando la necesidad de cerrar las brechas digitales y garantizar acceso para todos. Anunció que la Asociación Colombiana de Inteligencia Artificial seleccionará a cinco embajadores mayores de inteligencia artificial en Bogotá entre los asistentes al panel académico, como reconocimiento a su capacidad y potencial de aprendizaje. Señaló que la edad no es una limitante para mantenerse activo laboral y socialmente, y que aprender sobre tecnología no requiere necesariamente tener un dispositivo en la mano o un celular para comenzar.</w:t>
      </w:r>
    </w:p>
    <w:p w:rsidR="00D306C3" w:rsidRDefault="00D306C3" w:rsidP="00D306C3">
      <w:pPr>
        <w:pStyle w:val="Prrafodelista"/>
        <w:ind w:left="0"/>
        <w:jc w:val="both"/>
        <w:rPr>
          <w:rFonts w:ascii="Arial" w:hAnsi="Arial" w:cs="Arial"/>
          <w:bCs/>
          <w:sz w:val="20"/>
          <w:szCs w:val="20"/>
        </w:rPr>
      </w:pPr>
    </w:p>
    <w:p w:rsidR="00D306C3" w:rsidRDefault="00D306C3" w:rsidP="00D306C3">
      <w:pPr>
        <w:pStyle w:val="Prrafodelista"/>
        <w:numPr>
          <w:ilvl w:val="0"/>
          <w:numId w:val="1"/>
        </w:numPr>
        <w:ind w:left="0"/>
        <w:rPr>
          <w:rFonts w:ascii="Arial" w:hAnsi="Arial" w:cs="Arial"/>
          <w:b/>
          <w:bCs/>
          <w:sz w:val="20"/>
          <w:szCs w:val="20"/>
        </w:rPr>
      </w:pPr>
      <w:r>
        <w:rPr>
          <w:rFonts w:ascii="Arial" w:hAnsi="Arial" w:cs="Arial"/>
          <w:b/>
          <w:bCs/>
          <w:sz w:val="20"/>
          <w:szCs w:val="20"/>
        </w:rPr>
        <w:t>C</w:t>
      </w:r>
      <w:r w:rsidR="0069699C">
        <w:rPr>
          <w:rFonts w:ascii="Arial" w:hAnsi="Arial" w:cs="Arial"/>
          <w:b/>
          <w:bCs/>
          <w:sz w:val="20"/>
          <w:szCs w:val="20"/>
        </w:rPr>
        <w:t>lausura</w:t>
      </w:r>
    </w:p>
    <w:p w:rsidR="00D306C3" w:rsidRDefault="00D306C3" w:rsidP="00D306C3">
      <w:pPr>
        <w:pStyle w:val="Prrafodelista"/>
        <w:ind w:left="0"/>
        <w:rPr>
          <w:rFonts w:ascii="Arial" w:hAnsi="Arial" w:cs="Arial"/>
          <w:b/>
          <w:bCs/>
          <w:sz w:val="20"/>
          <w:szCs w:val="20"/>
        </w:rPr>
      </w:pPr>
    </w:p>
    <w:p w:rsidR="00FA4AA6" w:rsidRPr="002176DD" w:rsidRDefault="00D306C3" w:rsidP="002176DD">
      <w:pPr>
        <w:pStyle w:val="Prrafodelista"/>
        <w:ind w:left="0"/>
        <w:rPr>
          <w:rFonts w:ascii="Arial" w:hAnsi="Arial" w:cs="Arial"/>
          <w:bCs/>
          <w:sz w:val="20"/>
          <w:szCs w:val="20"/>
        </w:rPr>
      </w:pPr>
      <w:r w:rsidRPr="00D306C3">
        <w:rPr>
          <w:rFonts w:ascii="Arial" w:hAnsi="Arial" w:cs="Arial"/>
          <w:bCs/>
          <w:sz w:val="20"/>
          <w:szCs w:val="20"/>
        </w:rPr>
        <w:t>El maestro de ceremonias realizó el cierre y la finalización del evento, invitando a los participantes a dejar sus apreciaciones para la nueva política pública en el buzón y el código QR dispuestos para tal fin. El equipo de logística acompañó la salida de los asistentes.</w:t>
      </w:r>
    </w:p>
    <w:p w:rsidR="00FA4AA6" w:rsidRDefault="0033741A" w:rsidP="00FA4AA6">
      <w:pPr>
        <w:jc w:val="both"/>
        <w:rPr>
          <w:rFonts w:ascii="Arial" w:hAnsi="Arial" w:cs="Arial"/>
          <w:b/>
          <w:sz w:val="20"/>
          <w:szCs w:val="20"/>
        </w:rPr>
      </w:pPr>
      <w:r>
        <w:rPr>
          <w:rFonts w:ascii="Arial" w:hAnsi="Arial" w:cs="Arial"/>
          <w:b/>
          <w:sz w:val="20"/>
          <w:szCs w:val="20"/>
        </w:rPr>
        <w:t xml:space="preserve">Resumen de Asistencia </w:t>
      </w:r>
    </w:p>
    <w:p w:rsidR="002176DD" w:rsidRDefault="002176DD" w:rsidP="002176DD">
      <w:pPr>
        <w:jc w:val="center"/>
        <w:rPr>
          <w:rFonts w:ascii="Arial" w:hAnsi="Arial" w:cs="Arial"/>
          <w:b/>
          <w:sz w:val="20"/>
          <w:szCs w:val="20"/>
        </w:rPr>
      </w:pPr>
      <w:r w:rsidRPr="002176DD">
        <w:rPr>
          <w:rFonts w:ascii="Arial" w:hAnsi="Arial" w:cs="Arial"/>
          <w:b/>
          <w:noProof/>
          <w:sz w:val="20"/>
          <w:szCs w:val="20"/>
          <w:lang w:eastAsia="es-CO"/>
        </w:rPr>
        <w:drawing>
          <wp:inline distT="0" distB="0" distL="0" distR="0">
            <wp:extent cx="4524375" cy="3276600"/>
            <wp:effectExtent l="0" t="0" r="9525" b="0"/>
            <wp:docPr id="1" name="Imagen 1" descr="C:\Users\USER\AppData\Local\Packages\5319275A.WhatsAppDesktop_cv1g1gvanyjgm\TempState\536A76F94CF7535158F66CFBD4B113B6\Imagen de WhatsApp 2025-08-26 a las 18.09.44_ffe056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Packages\5319275A.WhatsAppDesktop_cv1g1gvanyjgm\TempState\536A76F94CF7535158F66CFBD4B113B6\Imagen de WhatsApp 2025-08-26 a las 18.09.44_ffe05636.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375" cy="3276600"/>
                    </a:xfrm>
                    <a:prstGeom prst="rect">
                      <a:avLst/>
                    </a:prstGeom>
                    <a:noFill/>
                    <a:ln>
                      <a:noFill/>
                    </a:ln>
                  </pic:spPr>
                </pic:pic>
              </a:graphicData>
            </a:graphic>
          </wp:inline>
        </w:drawing>
      </w:r>
    </w:p>
    <w:p w:rsidR="00FA4AA6" w:rsidRPr="00BE5980" w:rsidRDefault="00FA4AA6" w:rsidP="00FA4AA6">
      <w:pPr>
        <w:jc w:val="both"/>
        <w:rPr>
          <w:rFonts w:ascii="Arial" w:hAnsi="Arial" w:cs="Arial"/>
          <w:b/>
          <w:sz w:val="20"/>
          <w:szCs w:val="20"/>
        </w:rPr>
      </w:pPr>
    </w:p>
    <w:p w:rsidR="00FA4AA6" w:rsidRPr="00127829" w:rsidRDefault="00FA4AA6" w:rsidP="00FA4AA6">
      <w:pPr>
        <w:jc w:val="both"/>
        <w:rPr>
          <w:rFonts w:ascii="Arial" w:hAnsi="Arial" w:cs="Arial"/>
          <w:i/>
          <w:iCs/>
          <w:sz w:val="14"/>
          <w:szCs w:val="14"/>
        </w:rPr>
      </w:pPr>
      <w:r w:rsidRPr="00127829">
        <w:rPr>
          <w:rFonts w:ascii="Arial" w:hAnsi="Arial" w:cs="Arial"/>
          <w:sz w:val="14"/>
          <w:szCs w:val="14"/>
        </w:rPr>
        <w:t xml:space="preserve">Elaboró: </w:t>
      </w:r>
      <w:r w:rsidR="0033741A">
        <w:rPr>
          <w:rFonts w:ascii="Arial" w:hAnsi="Arial" w:cs="Arial"/>
          <w:sz w:val="14"/>
          <w:szCs w:val="14"/>
        </w:rPr>
        <w:t>Farid Alberto Afanador De La Hoz</w:t>
      </w:r>
      <w:r w:rsidRPr="00127829">
        <w:rPr>
          <w:rFonts w:ascii="Arial" w:hAnsi="Arial" w:cs="Arial"/>
          <w:sz w:val="14"/>
          <w:szCs w:val="14"/>
        </w:rPr>
        <w:t xml:space="preserve">. Profesional equipo de </w:t>
      </w:r>
      <w:r>
        <w:rPr>
          <w:rFonts w:ascii="Arial" w:hAnsi="Arial" w:cs="Arial"/>
          <w:sz w:val="14"/>
          <w:szCs w:val="14"/>
        </w:rPr>
        <w:t>Formulación Política Pública.</w:t>
      </w:r>
      <w:r w:rsidRPr="00127829">
        <w:rPr>
          <w:rFonts w:ascii="Arial" w:hAnsi="Arial" w:cs="Arial"/>
          <w:sz w:val="14"/>
          <w:szCs w:val="14"/>
        </w:rPr>
        <w:t xml:space="preserve"> Subdirección para la Vejez SDIS</w:t>
      </w:r>
    </w:p>
    <w:p w:rsidR="0008315A" w:rsidRDefault="00473A1E"/>
    <w:sectPr w:rsidR="0008315A" w:rsidSect="00D359E6">
      <w:headerReference w:type="default" r:id="rId8"/>
      <w:footerReference w:type="default" r:id="rId9"/>
      <w:pgSz w:w="12240" w:h="15840"/>
      <w:pgMar w:top="1701" w:right="1134" w:bottom="1134" w:left="1701" w:header="567" w:footer="141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A1E" w:rsidRDefault="00473A1E">
      <w:pPr>
        <w:spacing w:after="0" w:line="240" w:lineRule="auto"/>
      </w:pPr>
      <w:r>
        <w:separator/>
      </w:r>
    </w:p>
  </w:endnote>
  <w:endnote w:type="continuationSeparator" w:id="0">
    <w:p w:rsidR="00473A1E" w:rsidRDefault="00473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518" w:rsidRDefault="00FA4AA6" w:rsidP="00D348CF">
    <w:pPr>
      <w:pStyle w:val="Piedepgina"/>
      <w:jc w:val="center"/>
    </w:pPr>
    <w:r>
      <w:rPr>
        <w:noProof/>
        <w:lang w:eastAsia="es-CO"/>
      </w:rPr>
      <w:drawing>
        <wp:anchor distT="0" distB="0" distL="114300" distR="114300" simplePos="0" relativeHeight="251660288" behindDoc="0" locked="0" layoutInCell="1" allowOverlap="1" wp14:anchorId="6CD7517B" wp14:editId="1B5DDBF7">
          <wp:simplePos x="0" y="0"/>
          <wp:positionH relativeFrom="margin">
            <wp:posOffset>5114925</wp:posOffset>
          </wp:positionH>
          <wp:positionV relativeFrom="page">
            <wp:posOffset>8698865</wp:posOffset>
          </wp:positionV>
          <wp:extent cx="1116000" cy="1104000"/>
          <wp:effectExtent l="0" t="0" r="8255" b="127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l="81235" r="1218"/>
                  <a:stretch>
                    <a:fillRect/>
                  </a:stretch>
                </pic:blipFill>
                <pic:spPr bwMode="auto">
                  <a:xfrm>
                    <a:off x="0" y="0"/>
                    <a:ext cx="1116000" cy="1104000"/>
                  </a:xfrm>
                  <a:prstGeom prst="rect">
                    <a:avLst/>
                  </a:prstGeom>
                  <a:noFill/>
                  <a:ln>
                    <a:noFill/>
                  </a:ln>
                </pic:spPr>
              </pic:pic>
            </a:graphicData>
          </a:graphic>
          <wp14:sizeRelH relativeFrom="margin">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7ACC4501" wp14:editId="09803300">
              <wp:simplePos x="0" y="0"/>
              <wp:positionH relativeFrom="column">
                <wp:posOffset>-137160</wp:posOffset>
              </wp:positionH>
              <wp:positionV relativeFrom="paragraph">
                <wp:posOffset>68580</wp:posOffset>
              </wp:positionV>
              <wp:extent cx="3187065" cy="914400"/>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06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12A6" w:rsidRPr="00346849" w:rsidRDefault="00FA4AA6" w:rsidP="003512A6">
                          <w:pPr>
                            <w:spacing w:after="0" w:line="240" w:lineRule="auto"/>
                            <w:rPr>
                              <w:rFonts w:ascii="Arial" w:hAnsi="Arial" w:cs="Arial"/>
                              <w:sz w:val="18"/>
                              <w:szCs w:val="18"/>
                            </w:rPr>
                          </w:pPr>
                          <w:r w:rsidRPr="00346849">
                            <w:rPr>
                              <w:rFonts w:ascii="Arial" w:hAnsi="Arial" w:cs="Arial"/>
                              <w:sz w:val="18"/>
                              <w:szCs w:val="18"/>
                            </w:rPr>
                            <w:t>Sede Principal: Carrera 7 # 32 -12 / Ciudadela San Martín</w:t>
                          </w:r>
                        </w:p>
                        <w:p w:rsidR="003512A6" w:rsidRPr="00346849" w:rsidRDefault="00FA4AA6" w:rsidP="003512A6">
                          <w:pPr>
                            <w:spacing w:after="0" w:line="240" w:lineRule="auto"/>
                            <w:rPr>
                              <w:rFonts w:ascii="Arial" w:hAnsi="Arial" w:cs="Arial"/>
                              <w:sz w:val="18"/>
                              <w:szCs w:val="18"/>
                            </w:rPr>
                          </w:pPr>
                          <w:r w:rsidRPr="00346849">
                            <w:rPr>
                              <w:rFonts w:ascii="Arial" w:hAnsi="Arial" w:cs="Arial"/>
                              <w:sz w:val="18"/>
                              <w:szCs w:val="18"/>
                            </w:rPr>
                            <w:t>Secretaría Distrital de Integración Social</w:t>
                          </w:r>
                        </w:p>
                        <w:p w:rsidR="003512A6" w:rsidRPr="00346849" w:rsidRDefault="00FA4AA6" w:rsidP="003512A6">
                          <w:pPr>
                            <w:spacing w:after="0" w:line="240" w:lineRule="auto"/>
                            <w:rPr>
                              <w:rFonts w:ascii="Arial" w:hAnsi="Arial" w:cs="Arial"/>
                              <w:sz w:val="18"/>
                              <w:szCs w:val="18"/>
                            </w:rPr>
                          </w:pPr>
                          <w:r w:rsidRPr="00346849">
                            <w:rPr>
                              <w:rFonts w:ascii="Arial" w:hAnsi="Arial" w:cs="Arial"/>
                              <w:sz w:val="18"/>
                              <w:szCs w:val="18"/>
                            </w:rPr>
                            <w:t>Teléfono: 3 27 97 97</w:t>
                          </w:r>
                        </w:p>
                        <w:p w:rsidR="003512A6" w:rsidRDefault="00FA4AA6" w:rsidP="003512A6">
                          <w:pPr>
                            <w:spacing w:after="0" w:line="240" w:lineRule="auto"/>
                            <w:rPr>
                              <w:rFonts w:ascii="Arial" w:hAnsi="Arial" w:cs="Arial"/>
                              <w:sz w:val="18"/>
                              <w:szCs w:val="18"/>
                            </w:rPr>
                          </w:pPr>
                          <w:r w:rsidRPr="00CA0846">
                            <w:rPr>
                              <w:rFonts w:ascii="Arial" w:hAnsi="Arial" w:cs="Arial"/>
                              <w:sz w:val="18"/>
                              <w:szCs w:val="18"/>
                            </w:rPr>
                            <w:t xml:space="preserve">Correo electrónico institucional: </w:t>
                          </w:r>
                          <w:hyperlink r:id="rId2" w:history="1">
                            <w:r w:rsidRPr="00130F11">
                              <w:rPr>
                                <w:rStyle w:val="Hipervnculo"/>
                                <w:rFonts w:ascii="Arial" w:hAnsi="Arial" w:cs="Arial"/>
                                <w:sz w:val="18"/>
                                <w:szCs w:val="18"/>
                              </w:rPr>
                              <w:t>integracion@sdis.gov.co</w:t>
                            </w:r>
                          </w:hyperlink>
                          <w:r>
                            <w:rPr>
                              <w:rFonts w:ascii="Arial" w:hAnsi="Arial" w:cs="Arial"/>
                              <w:sz w:val="18"/>
                              <w:szCs w:val="18"/>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CC4501" id="_x0000_t202" coordsize="21600,21600" o:spt="202" path="m,l,21600r21600,l21600,xe">
              <v:stroke joinstyle="miter"/>
              <v:path gradientshapeok="t" o:connecttype="rect"/>
            </v:shapetype>
            <v:shape id="Cuadro de texto 2" o:spid="_x0000_s1026" type="#_x0000_t202" style="position:absolute;left:0;text-align:left;margin-left:-10.8pt;margin-top:5.4pt;width:250.9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" filled="f" stroked="f">
              <v:textbox inset=",7.2pt,,7.2pt">
                <w:txbxContent>
                  <w:p w:rsidR="003512A6" w:rsidRPr="00346849" w:rsidRDefault="00FA4AA6" w:rsidP="003512A6">
                    <w:pPr>
                      <w:spacing w:after="0" w:line="240" w:lineRule="auto"/>
                      <w:rPr>
                        <w:rFonts w:ascii="Arial" w:hAnsi="Arial" w:cs="Arial"/>
                        <w:sz w:val="18"/>
                        <w:szCs w:val="18"/>
                      </w:rPr>
                    </w:pPr>
                    <w:r w:rsidRPr="00346849">
                      <w:rPr>
                        <w:rFonts w:ascii="Arial" w:hAnsi="Arial" w:cs="Arial"/>
                        <w:sz w:val="18"/>
                        <w:szCs w:val="18"/>
                      </w:rPr>
                      <w:t>Sede Principal: Carrera 7 # 32 -12 / Ciudadela San Martín</w:t>
                    </w:r>
                  </w:p>
                  <w:p w:rsidR="003512A6" w:rsidRPr="00346849" w:rsidRDefault="00FA4AA6" w:rsidP="003512A6">
                    <w:pPr>
                      <w:spacing w:after="0" w:line="240" w:lineRule="auto"/>
                      <w:rPr>
                        <w:rFonts w:ascii="Arial" w:hAnsi="Arial" w:cs="Arial"/>
                        <w:sz w:val="18"/>
                        <w:szCs w:val="18"/>
                      </w:rPr>
                    </w:pPr>
                    <w:r w:rsidRPr="00346849">
                      <w:rPr>
                        <w:rFonts w:ascii="Arial" w:hAnsi="Arial" w:cs="Arial"/>
                        <w:sz w:val="18"/>
                        <w:szCs w:val="18"/>
                      </w:rPr>
                      <w:t>Secretaría Distrital de Integración Social</w:t>
                    </w:r>
                  </w:p>
                  <w:p w:rsidR="003512A6" w:rsidRPr="00346849" w:rsidRDefault="00FA4AA6" w:rsidP="003512A6">
                    <w:pPr>
                      <w:spacing w:after="0" w:line="240" w:lineRule="auto"/>
                      <w:rPr>
                        <w:rFonts w:ascii="Arial" w:hAnsi="Arial" w:cs="Arial"/>
                        <w:sz w:val="18"/>
                        <w:szCs w:val="18"/>
                      </w:rPr>
                    </w:pPr>
                    <w:r w:rsidRPr="00346849">
                      <w:rPr>
                        <w:rFonts w:ascii="Arial" w:hAnsi="Arial" w:cs="Arial"/>
                        <w:sz w:val="18"/>
                        <w:szCs w:val="18"/>
                      </w:rPr>
                      <w:t>Teléfono: 3 27 97 97</w:t>
                    </w:r>
                  </w:p>
                  <w:p w:rsidR="003512A6" w:rsidRDefault="00FA4AA6" w:rsidP="003512A6">
                    <w:pPr>
                      <w:spacing w:after="0" w:line="240" w:lineRule="auto"/>
                      <w:rPr>
                        <w:rFonts w:ascii="Arial" w:hAnsi="Arial" w:cs="Arial"/>
                        <w:sz w:val="18"/>
                        <w:szCs w:val="18"/>
                      </w:rPr>
                    </w:pPr>
                    <w:r w:rsidRPr="00CA0846">
                      <w:rPr>
                        <w:rFonts w:ascii="Arial" w:hAnsi="Arial" w:cs="Arial"/>
                        <w:sz w:val="18"/>
                        <w:szCs w:val="18"/>
                      </w:rPr>
                      <w:t xml:space="preserve">Correo electrónico institucional: </w:t>
                    </w:r>
                    <w:hyperlink r:id="rId3" w:history="1">
                      <w:r w:rsidRPr="00130F11">
                        <w:rPr>
                          <w:rStyle w:val="Hipervnculo"/>
                          <w:rFonts w:ascii="Arial" w:hAnsi="Arial" w:cs="Arial"/>
                          <w:sz w:val="18"/>
                          <w:szCs w:val="18"/>
                        </w:rPr>
                        <w:t>integracion@sdis.gov.co</w:t>
                      </w:r>
                    </w:hyperlink>
                    <w:r>
                      <w:rPr>
                        <w:rFonts w:ascii="Arial" w:hAnsi="Arial" w:cs="Arial"/>
                        <w:sz w:val="18"/>
                        <w:szCs w:val="18"/>
                      </w:rPr>
                      <w:t xml:space="preserve"> </w:t>
                    </w:r>
                  </w:p>
                </w:txbxContent>
              </v:textbox>
            </v:shape>
          </w:pict>
        </mc:Fallback>
      </mc:AlternateContent>
    </w:r>
  </w:p>
  <w:p w:rsidR="00EB3518" w:rsidRDefault="00473A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A1E" w:rsidRDefault="00473A1E">
      <w:pPr>
        <w:spacing w:after="0" w:line="240" w:lineRule="auto"/>
      </w:pPr>
      <w:r>
        <w:separator/>
      </w:r>
    </w:p>
  </w:footnote>
  <w:footnote w:type="continuationSeparator" w:id="0">
    <w:p w:rsidR="00473A1E" w:rsidRDefault="00473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5DD" w:rsidRDefault="00FA4AA6" w:rsidP="001F6A21">
    <w:pPr>
      <w:pStyle w:val="Encabezado"/>
      <w:jc w:val="center"/>
    </w:pPr>
    <w:r>
      <w:rPr>
        <w:noProof/>
        <w:lang w:eastAsia="es-CO"/>
      </w:rPr>
      <w:drawing>
        <wp:inline distT="0" distB="0" distL="0" distR="0" wp14:anchorId="0610F1CA" wp14:editId="53187898">
          <wp:extent cx="2893983" cy="578734"/>
          <wp:effectExtent l="0" t="0" r="0" b="5715"/>
          <wp:docPr id="11472143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14308" name="Imagen 1147214308"/>
                  <pic:cNvPicPr/>
                </pic:nvPicPr>
                <pic:blipFill>
                  <a:blip r:embed="rId1"/>
                  <a:stretch>
                    <a:fillRect/>
                  </a:stretch>
                </pic:blipFill>
                <pic:spPr>
                  <a:xfrm>
                    <a:off x="0" y="0"/>
                    <a:ext cx="3055595" cy="611053"/>
                  </a:xfrm>
                  <a:prstGeom prst="rect">
                    <a:avLst/>
                  </a:prstGeom>
                </pic:spPr>
              </pic:pic>
            </a:graphicData>
          </a:graphic>
        </wp:inline>
      </w:drawing>
    </w:r>
  </w:p>
  <w:p w:rsidR="00415BE0" w:rsidRPr="003512A6" w:rsidRDefault="00FA4AA6" w:rsidP="003512A6">
    <w:pPr>
      <w:spacing w:after="0"/>
      <w:jc w:val="right"/>
      <w:rPr>
        <w:rFonts w:ascii="Arial" w:hAnsi="Arial" w:cs="Arial"/>
        <w:sz w:val="16"/>
        <w:szCs w:val="16"/>
      </w:rPr>
    </w:pPr>
    <w:r w:rsidRPr="003512A6">
      <w:rPr>
        <w:rFonts w:ascii="Arial" w:hAnsi="Arial" w:cs="Arial"/>
        <w:sz w:val="16"/>
        <w:szCs w:val="16"/>
      </w:rPr>
      <w:t>FOR-GD-002</w:t>
    </w:r>
    <w:r>
      <w:rPr>
        <w:rFonts w:ascii="Arial" w:hAnsi="Arial" w:cs="Arial"/>
        <w:sz w:val="16"/>
        <w:szCs w:val="16"/>
      </w:rPr>
      <w:t xml:space="preserve"> – V2</w:t>
    </w:r>
  </w:p>
  <w:p w:rsidR="00415BE0" w:rsidRPr="003512A6" w:rsidRDefault="00FA4AA6" w:rsidP="003512A6">
    <w:pPr>
      <w:spacing w:after="0"/>
      <w:jc w:val="right"/>
      <w:rPr>
        <w:sz w:val="16"/>
        <w:szCs w:val="16"/>
      </w:rPr>
    </w:pPr>
    <w:r w:rsidRPr="003512A6">
      <w:rPr>
        <w:rFonts w:ascii="Arial" w:hAnsi="Arial" w:cs="Arial"/>
        <w:sz w:val="16"/>
        <w:szCs w:val="16"/>
      </w:rPr>
      <w:t xml:space="preserve">Página </w:t>
    </w:r>
    <w:r w:rsidRPr="003512A6">
      <w:rPr>
        <w:rFonts w:ascii="Arial" w:hAnsi="Arial" w:cs="Arial"/>
        <w:sz w:val="16"/>
        <w:szCs w:val="16"/>
      </w:rPr>
      <w:fldChar w:fldCharType="begin"/>
    </w:r>
    <w:r w:rsidRPr="003512A6">
      <w:rPr>
        <w:rFonts w:ascii="Arial" w:hAnsi="Arial" w:cs="Arial"/>
        <w:sz w:val="16"/>
        <w:szCs w:val="16"/>
      </w:rPr>
      <w:instrText xml:space="preserve"> PAGE </w:instrText>
    </w:r>
    <w:r w:rsidRPr="003512A6">
      <w:rPr>
        <w:rFonts w:ascii="Arial" w:hAnsi="Arial" w:cs="Arial"/>
        <w:sz w:val="16"/>
        <w:szCs w:val="16"/>
      </w:rPr>
      <w:fldChar w:fldCharType="separate"/>
    </w:r>
    <w:r w:rsidR="0080454F">
      <w:rPr>
        <w:rFonts w:ascii="Arial" w:hAnsi="Arial" w:cs="Arial"/>
        <w:noProof/>
        <w:sz w:val="16"/>
        <w:szCs w:val="16"/>
      </w:rPr>
      <w:t>5</w:t>
    </w:r>
    <w:r w:rsidRPr="003512A6">
      <w:rPr>
        <w:rFonts w:ascii="Arial" w:hAnsi="Arial" w:cs="Arial"/>
        <w:sz w:val="16"/>
        <w:szCs w:val="16"/>
      </w:rPr>
      <w:fldChar w:fldCharType="end"/>
    </w:r>
    <w:r w:rsidRPr="003512A6">
      <w:rPr>
        <w:rFonts w:ascii="Arial" w:hAnsi="Arial" w:cs="Arial"/>
        <w:sz w:val="16"/>
        <w:szCs w:val="16"/>
      </w:rPr>
      <w:t xml:space="preserve"> de </w:t>
    </w:r>
    <w:r w:rsidRPr="003512A6">
      <w:rPr>
        <w:rFonts w:ascii="Arial" w:hAnsi="Arial" w:cs="Arial"/>
        <w:sz w:val="16"/>
        <w:szCs w:val="16"/>
      </w:rPr>
      <w:fldChar w:fldCharType="begin"/>
    </w:r>
    <w:r w:rsidRPr="003512A6">
      <w:rPr>
        <w:rFonts w:ascii="Arial" w:hAnsi="Arial" w:cs="Arial"/>
        <w:sz w:val="16"/>
        <w:szCs w:val="16"/>
      </w:rPr>
      <w:instrText xml:space="preserve"> NUMPAGES </w:instrText>
    </w:r>
    <w:r w:rsidRPr="003512A6">
      <w:rPr>
        <w:rFonts w:ascii="Arial" w:hAnsi="Arial" w:cs="Arial"/>
        <w:sz w:val="16"/>
        <w:szCs w:val="16"/>
      </w:rPr>
      <w:fldChar w:fldCharType="separate"/>
    </w:r>
    <w:r w:rsidR="0080454F">
      <w:rPr>
        <w:rFonts w:ascii="Arial" w:hAnsi="Arial" w:cs="Arial"/>
        <w:noProof/>
        <w:sz w:val="16"/>
        <w:szCs w:val="16"/>
      </w:rPr>
      <w:t>5</w:t>
    </w:r>
    <w:r w:rsidRPr="003512A6">
      <w:rPr>
        <w:rFonts w:ascii="Arial" w:hAnsi="Arial" w:cs="Arial"/>
        <w:sz w:val="16"/>
        <w:szCs w:val="1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A40DC"/>
    <w:multiLevelType w:val="hybridMultilevel"/>
    <w:tmpl w:val="8E6EB300"/>
    <w:lvl w:ilvl="0" w:tplc="8AC082E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B17F2A"/>
    <w:multiLevelType w:val="hybridMultilevel"/>
    <w:tmpl w:val="65921884"/>
    <w:lvl w:ilvl="0" w:tplc="0396013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3CA5EC9"/>
    <w:multiLevelType w:val="hybridMultilevel"/>
    <w:tmpl w:val="734475B8"/>
    <w:lvl w:ilvl="0" w:tplc="AEF0AA8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A52618E"/>
    <w:multiLevelType w:val="hybridMultilevel"/>
    <w:tmpl w:val="AB5EDC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0EF742F"/>
    <w:multiLevelType w:val="hybridMultilevel"/>
    <w:tmpl w:val="E712256C"/>
    <w:lvl w:ilvl="0" w:tplc="0396013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0C16B0"/>
    <w:multiLevelType w:val="hybridMultilevel"/>
    <w:tmpl w:val="4B6CE2AE"/>
    <w:lvl w:ilvl="0" w:tplc="D6A89EA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9E154A"/>
    <w:multiLevelType w:val="hybridMultilevel"/>
    <w:tmpl w:val="ED1CEE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AA6"/>
    <w:rsid w:val="00063DDF"/>
    <w:rsid w:val="00067C6E"/>
    <w:rsid w:val="000A6219"/>
    <w:rsid w:val="000C4BAD"/>
    <w:rsid w:val="00102AD4"/>
    <w:rsid w:val="0014605E"/>
    <w:rsid w:val="00185E16"/>
    <w:rsid w:val="001F2C78"/>
    <w:rsid w:val="002176DD"/>
    <w:rsid w:val="00254032"/>
    <w:rsid w:val="00294DD8"/>
    <w:rsid w:val="002C4B1F"/>
    <w:rsid w:val="002D2201"/>
    <w:rsid w:val="003317F4"/>
    <w:rsid w:val="00334920"/>
    <w:rsid w:val="0033741A"/>
    <w:rsid w:val="00473A1E"/>
    <w:rsid w:val="004854E8"/>
    <w:rsid w:val="005174F6"/>
    <w:rsid w:val="00536230"/>
    <w:rsid w:val="00557002"/>
    <w:rsid w:val="0067083B"/>
    <w:rsid w:val="0069699C"/>
    <w:rsid w:val="006D37C1"/>
    <w:rsid w:val="007520D9"/>
    <w:rsid w:val="007F56DA"/>
    <w:rsid w:val="0080454F"/>
    <w:rsid w:val="00872957"/>
    <w:rsid w:val="008F0F1F"/>
    <w:rsid w:val="00944530"/>
    <w:rsid w:val="00984A3A"/>
    <w:rsid w:val="00996FAF"/>
    <w:rsid w:val="009D331A"/>
    <w:rsid w:val="00A8373F"/>
    <w:rsid w:val="00AB7A70"/>
    <w:rsid w:val="00AC00B9"/>
    <w:rsid w:val="00B31CB4"/>
    <w:rsid w:val="00B7536D"/>
    <w:rsid w:val="00B76BA6"/>
    <w:rsid w:val="00BB18F2"/>
    <w:rsid w:val="00BF6C47"/>
    <w:rsid w:val="00D02B3B"/>
    <w:rsid w:val="00D23673"/>
    <w:rsid w:val="00D306C3"/>
    <w:rsid w:val="00E17DD2"/>
    <w:rsid w:val="00EB597B"/>
    <w:rsid w:val="00ED5885"/>
    <w:rsid w:val="00EF4D38"/>
    <w:rsid w:val="00F3176A"/>
    <w:rsid w:val="00FA4A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07D69"/>
  <w15:chartTrackingRefBased/>
  <w15:docId w15:val="{A57C33FE-FD0B-41F7-BDAD-4E8C3F0B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AA6"/>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4AA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4AA6"/>
    <w:rPr>
      <w:rFonts w:ascii="Calibri" w:eastAsia="Calibri" w:hAnsi="Calibri" w:cs="Times New Roman"/>
    </w:rPr>
  </w:style>
  <w:style w:type="paragraph" w:styleId="Piedepgina">
    <w:name w:val="footer"/>
    <w:basedOn w:val="Normal"/>
    <w:link w:val="PiedepginaCar"/>
    <w:uiPriority w:val="99"/>
    <w:unhideWhenUsed/>
    <w:rsid w:val="00FA4AA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4AA6"/>
    <w:rPr>
      <w:rFonts w:ascii="Calibri" w:eastAsia="Calibri" w:hAnsi="Calibri" w:cs="Times New Roman"/>
    </w:rPr>
  </w:style>
  <w:style w:type="character" w:styleId="Hipervnculo">
    <w:name w:val="Hyperlink"/>
    <w:uiPriority w:val="99"/>
    <w:unhideWhenUsed/>
    <w:rsid w:val="00FA4AA6"/>
    <w:rPr>
      <w:color w:val="0563C1"/>
      <w:u w:val="single"/>
    </w:rPr>
  </w:style>
  <w:style w:type="paragraph" w:styleId="Prrafodelista">
    <w:name w:val="List Paragraph"/>
    <w:basedOn w:val="Normal"/>
    <w:uiPriority w:val="72"/>
    <w:qFormat/>
    <w:rsid w:val="00FA4AA6"/>
    <w:pPr>
      <w:ind w:left="720"/>
      <w:contextualSpacing/>
    </w:pPr>
  </w:style>
  <w:style w:type="character" w:styleId="Textoennegrita">
    <w:name w:val="Strong"/>
    <w:basedOn w:val="Fuentedeprrafopredeter"/>
    <w:uiPriority w:val="22"/>
    <w:qFormat/>
    <w:rsid w:val="00102A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3251">
      <w:bodyDiv w:val="1"/>
      <w:marLeft w:val="0"/>
      <w:marRight w:val="0"/>
      <w:marTop w:val="0"/>
      <w:marBottom w:val="0"/>
      <w:divBdr>
        <w:top w:val="none" w:sz="0" w:space="0" w:color="auto"/>
        <w:left w:val="none" w:sz="0" w:space="0" w:color="auto"/>
        <w:bottom w:val="none" w:sz="0" w:space="0" w:color="auto"/>
        <w:right w:val="none" w:sz="0" w:space="0" w:color="auto"/>
      </w:divBdr>
      <w:divsChild>
        <w:div w:id="167017137">
          <w:marLeft w:val="0"/>
          <w:marRight w:val="0"/>
          <w:marTop w:val="0"/>
          <w:marBottom w:val="0"/>
          <w:divBdr>
            <w:top w:val="none" w:sz="0" w:space="0" w:color="auto"/>
            <w:left w:val="none" w:sz="0" w:space="0" w:color="auto"/>
            <w:bottom w:val="none" w:sz="0" w:space="0" w:color="auto"/>
            <w:right w:val="none" w:sz="0" w:space="0" w:color="auto"/>
          </w:divBdr>
          <w:divsChild>
            <w:div w:id="952639454">
              <w:marLeft w:val="0"/>
              <w:marRight w:val="0"/>
              <w:marTop w:val="0"/>
              <w:marBottom w:val="0"/>
              <w:divBdr>
                <w:top w:val="none" w:sz="0" w:space="0" w:color="auto"/>
                <w:left w:val="none" w:sz="0" w:space="0" w:color="auto"/>
                <w:bottom w:val="none" w:sz="0" w:space="0" w:color="auto"/>
                <w:right w:val="none" w:sz="0" w:space="0" w:color="auto"/>
              </w:divBdr>
              <w:divsChild>
                <w:div w:id="1621493548">
                  <w:marLeft w:val="0"/>
                  <w:marRight w:val="0"/>
                  <w:marTop w:val="0"/>
                  <w:marBottom w:val="0"/>
                  <w:divBdr>
                    <w:top w:val="none" w:sz="0" w:space="0" w:color="auto"/>
                    <w:left w:val="none" w:sz="0" w:space="0" w:color="auto"/>
                    <w:bottom w:val="none" w:sz="0" w:space="0" w:color="auto"/>
                    <w:right w:val="none" w:sz="0" w:space="0" w:color="auto"/>
                  </w:divBdr>
                  <w:divsChild>
                    <w:div w:id="108136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554218">
      <w:bodyDiv w:val="1"/>
      <w:marLeft w:val="0"/>
      <w:marRight w:val="0"/>
      <w:marTop w:val="0"/>
      <w:marBottom w:val="0"/>
      <w:divBdr>
        <w:top w:val="none" w:sz="0" w:space="0" w:color="auto"/>
        <w:left w:val="none" w:sz="0" w:space="0" w:color="auto"/>
        <w:bottom w:val="none" w:sz="0" w:space="0" w:color="auto"/>
        <w:right w:val="none" w:sz="0" w:space="0" w:color="auto"/>
      </w:divBdr>
      <w:divsChild>
        <w:div w:id="1885099902">
          <w:marLeft w:val="0"/>
          <w:marRight w:val="0"/>
          <w:marTop w:val="0"/>
          <w:marBottom w:val="0"/>
          <w:divBdr>
            <w:top w:val="none" w:sz="0" w:space="0" w:color="auto"/>
            <w:left w:val="none" w:sz="0" w:space="0" w:color="auto"/>
            <w:bottom w:val="none" w:sz="0" w:space="0" w:color="auto"/>
            <w:right w:val="none" w:sz="0" w:space="0" w:color="auto"/>
          </w:divBdr>
          <w:divsChild>
            <w:div w:id="1995833510">
              <w:marLeft w:val="0"/>
              <w:marRight w:val="0"/>
              <w:marTop w:val="0"/>
              <w:marBottom w:val="0"/>
              <w:divBdr>
                <w:top w:val="none" w:sz="0" w:space="0" w:color="auto"/>
                <w:left w:val="none" w:sz="0" w:space="0" w:color="auto"/>
                <w:bottom w:val="none" w:sz="0" w:space="0" w:color="auto"/>
                <w:right w:val="none" w:sz="0" w:space="0" w:color="auto"/>
              </w:divBdr>
              <w:divsChild>
                <w:div w:id="1515145998">
                  <w:marLeft w:val="0"/>
                  <w:marRight w:val="0"/>
                  <w:marTop w:val="0"/>
                  <w:marBottom w:val="0"/>
                  <w:divBdr>
                    <w:top w:val="none" w:sz="0" w:space="0" w:color="auto"/>
                    <w:left w:val="none" w:sz="0" w:space="0" w:color="auto"/>
                    <w:bottom w:val="none" w:sz="0" w:space="0" w:color="auto"/>
                    <w:right w:val="none" w:sz="0" w:space="0" w:color="auto"/>
                  </w:divBdr>
                  <w:divsChild>
                    <w:div w:id="1585340745">
                      <w:marLeft w:val="0"/>
                      <w:marRight w:val="0"/>
                      <w:marTop w:val="0"/>
                      <w:marBottom w:val="0"/>
                      <w:divBdr>
                        <w:top w:val="none" w:sz="0" w:space="0" w:color="auto"/>
                        <w:left w:val="none" w:sz="0" w:space="0" w:color="auto"/>
                        <w:bottom w:val="none" w:sz="0" w:space="0" w:color="auto"/>
                        <w:right w:val="none" w:sz="0" w:space="0" w:color="auto"/>
                      </w:divBdr>
                      <w:divsChild>
                        <w:div w:id="642003820">
                          <w:marLeft w:val="0"/>
                          <w:marRight w:val="0"/>
                          <w:marTop w:val="0"/>
                          <w:marBottom w:val="0"/>
                          <w:divBdr>
                            <w:top w:val="none" w:sz="0" w:space="0" w:color="auto"/>
                            <w:left w:val="none" w:sz="0" w:space="0" w:color="auto"/>
                            <w:bottom w:val="none" w:sz="0" w:space="0" w:color="auto"/>
                            <w:right w:val="none" w:sz="0" w:space="0" w:color="auto"/>
                          </w:divBdr>
                          <w:divsChild>
                            <w:div w:id="207677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7974210">
      <w:bodyDiv w:val="1"/>
      <w:marLeft w:val="0"/>
      <w:marRight w:val="0"/>
      <w:marTop w:val="0"/>
      <w:marBottom w:val="0"/>
      <w:divBdr>
        <w:top w:val="none" w:sz="0" w:space="0" w:color="auto"/>
        <w:left w:val="none" w:sz="0" w:space="0" w:color="auto"/>
        <w:bottom w:val="none" w:sz="0" w:space="0" w:color="auto"/>
        <w:right w:val="none" w:sz="0" w:space="0" w:color="auto"/>
      </w:divBdr>
    </w:div>
    <w:div w:id="54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40425545">
          <w:marLeft w:val="0"/>
          <w:marRight w:val="0"/>
          <w:marTop w:val="0"/>
          <w:marBottom w:val="0"/>
          <w:divBdr>
            <w:top w:val="none" w:sz="0" w:space="0" w:color="auto"/>
            <w:left w:val="none" w:sz="0" w:space="0" w:color="auto"/>
            <w:bottom w:val="none" w:sz="0" w:space="0" w:color="auto"/>
            <w:right w:val="none" w:sz="0" w:space="0" w:color="auto"/>
          </w:divBdr>
          <w:divsChild>
            <w:div w:id="895316965">
              <w:marLeft w:val="0"/>
              <w:marRight w:val="0"/>
              <w:marTop w:val="0"/>
              <w:marBottom w:val="0"/>
              <w:divBdr>
                <w:top w:val="none" w:sz="0" w:space="0" w:color="auto"/>
                <w:left w:val="none" w:sz="0" w:space="0" w:color="auto"/>
                <w:bottom w:val="none" w:sz="0" w:space="0" w:color="auto"/>
                <w:right w:val="none" w:sz="0" w:space="0" w:color="auto"/>
              </w:divBdr>
              <w:divsChild>
                <w:div w:id="1059599051">
                  <w:marLeft w:val="0"/>
                  <w:marRight w:val="0"/>
                  <w:marTop w:val="0"/>
                  <w:marBottom w:val="0"/>
                  <w:divBdr>
                    <w:top w:val="none" w:sz="0" w:space="0" w:color="auto"/>
                    <w:left w:val="none" w:sz="0" w:space="0" w:color="auto"/>
                    <w:bottom w:val="none" w:sz="0" w:space="0" w:color="auto"/>
                    <w:right w:val="none" w:sz="0" w:space="0" w:color="auto"/>
                  </w:divBdr>
                  <w:divsChild>
                    <w:div w:id="711461840">
                      <w:marLeft w:val="0"/>
                      <w:marRight w:val="0"/>
                      <w:marTop w:val="0"/>
                      <w:marBottom w:val="0"/>
                      <w:divBdr>
                        <w:top w:val="none" w:sz="0" w:space="0" w:color="auto"/>
                        <w:left w:val="none" w:sz="0" w:space="0" w:color="auto"/>
                        <w:bottom w:val="none" w:sz="0" w:space="0" w:color="auto"/>
                        <w:right w:val="none" w:sz="0" w:space="0" w:color="auto"/>
                      </w:divBdr>
                      <w:divsChild>
                        <w:div w:id="901598214">
                          <w:marLeft w:val="0"/>
                          <w:marRight w:val="0"/>
                          <w:marTop w:val="0"/>
                          <w:marBottom w:val="0"/>
                          <w:divBdr>
                            <w:top w:val="none" w:sz="0" w:space="0" w:color="auto"/>
                            <w:left w:val="none" w:sz="0" w:space="0" w:color="auto"/>
                            <w:bottom w:val="none" w:sz="0" w:space="0" w:color="auto"/>
                            <w:right w:val="none" w:sz="0" w:space="0" w:color="auto"/>
                          </w:divBdr>
                          <w:divsChild>
                            <w:div w:id="66810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8450354">
      <w:bodyDiv w:val="1"/>
      <w:marLeft w:val="0"/>
      <w:marRight w:val="0"/>
      <w:marTop w:val="0"/>
      <w:marBottom w:val="0"/>
      <w:divBdr>
        <w:top w:val="none" w:sz="0" w:space="0" w:color="auto"/>
        <w:left w:val="none" w:sz="0" w:space="0" w:color="auto"/>
        <w:bottom w:val="none" w:sz="0" w:space="0" w:color="auto"/>
        <w:right w:val="none" w:sz="0" w:space="0" w:color="auto"/>
      </w:divBdr>
      <w:divsChild>
        <w:div w:id="1244876616">
          <w:marLeft w:val="0"/>
          <w:marRight w:val="0"/>
          <w:marTop w:val="0"/>
          <w:marBottom w:val="0"/>
          <w:divBdr>
            <w:top w:val="none" w:sz="0" w:space="0" w:color="auto"/>
            <w:left w:val="none" w:sz="0" w:space="0" w:color="auto"/>
            <w:bottom w:val="none" w:sz="0" w:space="0" w:color="auto"/>
            <w:right w:val="none" w:sz="0" w:space="0" w:color="auto"/>
          </w:divBdr>
          <w:divsChild>
            <w:div w:id="1866628010">
              <w:marLeft w:val="0"/>
              <w:marRight w:val="0"/>
              <w:marTop w:val="0"/>
              <w:marBottom w:val="0"/>
              <w:divBdr>
                <w:top w:val="none" w:sz="0" w:space="0" w:color="auto"/>
                <w:left w:val="none" w:sz="0" w:space="0" w:color="auto"/>
                <w:bottom w:val="none" w:sz="0" w:space="0" w:color="auto"/>
                <w:right w:val="none" w:sz="0" w:space="0" w:color="auto"/>
              </w:divBdr>
              <w:divsChild>
                <w:div w:id="1055423283">
                  <w:marLeft w:val="0"/>
                  <w:marRight w:val="0"/>
                  <w:marTop w:val="0"/>
                  <w:marBottom w:val="0"/>
                  <w:divBdr>
                    <w:top w:val="none" w:sz="0" w:space="0" w:color="auto"/>
                    <w:left w:val="none" w:sz="0" w:space="0" w:color="auto"/>
                    <w:bottom w:val="none" w:sz="0" w:space="0" w:color="auto"/>
                    <w:right w:val="none" w:sz="0" w:space="0" w:color="auto"/>
                  </w:divBdr>
                  <w:divsChild>
                    <w:div w:id="1755854967">
                      <w:marLeft w:val="0"/>
                      <w:marRight w:val="0"/>
                      <w:marTop w:val="0"/>
                      <w:marBottom w:val="0"/>
                      <w:divBdr>
                        <w:top w:val="none" w:sz="0" w:space="0" w:color="auto"/>
                        <w:left w:val="none" w:sz="0" w:space="0" w:color="auto"/>
                        <w:bottom w:val="none" w:sz="0" w:space="0" w:color="auto"/>
                        <w:right w:val="none" w:sz="0" w:space="0" w:color="auto"/>
                      </w:divBdr>
                      <w:divsChild>
                        <w:div w:id="696661502">
                          <w:marLeft w:val="0"/>
                          <w:marRight w:val="0"/>
                          <w:marTop w:val="0"/>
                          <w:marBottom w:val="0"/>
                          <w:divBdr>
                            <w:top w:val="none" w:sz="0" w:space="0" w:color="auto"/>
                            <w:left w:val="none" w:sz="0" w:space="0" w:color="auto"/>
                            <w:bottom w:val="none" w:sz="0" w:space="0" w:color="auto"/>
                            <w:right w:val="none" w:sz="0" w:space="0" w:color="auto"/>
                          </w:divBdr>
                          <w:divsChild>
                            <w:div w:id="88251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654653">
      <w:bodyDiv w:val="1"/>
      <w:marLeft w:val="0"/>
      <w:marRight w:val="0"/>
      <w:marTop w:val="0"/>
      <w:marBottom w:val="0"/>
      <w:divBdr>
        <w:top w:val="none" w:sz="0" w:space="0" w:color="auto"/>
        <w:left w:val="none" w:sz="0" w:space="0" w:color="auto"/>
        <w:bottom w:val="none" w:sz="0" w:space="0" w:color="auto"/>
        <w:right w:val="none" w:sz="0" w:space="0" w:color="auto"/>
      </w:divBdr>
    </w:div>
    <w:div w:id="162781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integracion@sdis.gov.co" TargetMode="External"/><Relationship Id="rId2" Type="http://schemas.openxmlformats.org/officeDocument/2006/relationships/hyperlink" Target="mailto:integracion@sdis.gov.co"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09FE06-8E39-4232-BC6B-90ADA074F478}"/>
</file>

<file path=customXml/itemProps2.xml><?xml version="1.0" encoding="utf-8"?>
<ds:datastoreItem xmlns:ds="http://schemas.openxmlformats.org/officeDocument/2006/customXml" ds:itemID="{FC3F2F23-B56C-452F-BCDA-4D83FFB2F181}"/>
</file>

<file path=customXml/itemProps3.xml><?xml version="1.0" encoding="utf-8"?>
<ds:datastoreItem xmlns:ds="http://schemas.openxmlformats.org/officeDocument/2006/customXml" ds:itemID="{31BB3903-E282-4045-9924-50EB8C9BC5B9}"/>
</file>

<file path=docProps/app.xml><?xml version="1.0" encoding="utf-8"?>
<Properties xmlns="http://schemas.openxmlformats.org/officeDocument/2006/extended-properties" xmlns:vt="http://schemas.openxmlformats.org/officeDocument/2006/docPropsVTypes">
  <Template>Normal</Template>
  <TotalTime>103</TotalTime>
  <Pages>5</Pages>
  <Words>1815</Words>
  <Characters>9984</Characters>
  <Application>Microsoft Office Word</Application>
  <DocSecurity>0</DocSecurity>
  <Lines>83</Lines>
  <Paragraphs>23</Paragraphs>
  <ScaleCrop>false</ScaleCrop>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dcterms:created xsi:type="dcterms:W3CDTF">2025-08-26T21:14:00Z</dcterms:created>
  <dcterms:modified xsi:type="dcterms:W3CDTF">2025-08-26T23:20:00Z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ies>
</file>